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自贡恐龙博物馆</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2022</w:t>
      </w:r>
      <w:r>
        <w:rPr>
          <w:rFonts w:hint="eastAsia" w:ascii="方正小标宋简体" w:eastAsia="方正小标宋简体"/>
          <w:sz w:val="44"/>
          <w:szCs w:val="44"/>
        </w:rPr>
        <w:t>年度</w:t>
      </w:r>
      <w:r>
        <w:rPr>
          <w:rFonts w:hint="eastAsia" w:ascii="方正小标宋简体" w:eastAsia="方正小标宋简体"/>
          <w:sz w:val="44"/>
          <w:szCs w:val="44"/>
          <w:lang w:val="en-US" w:eastAsia="zh-CN"/>
        </w:rPr>
        <w:t>单位</w:t>
      </w:r>
      <w:r>
        <w:rPr>
          <w:rFonts w:hint="eastAsia" w:ascii="方正小标宋简体" w:eastAsia="方正小标宋简体"/>
          <w:sz w:val="44"/>
          <w:szCs w:val="44"/>
        </w:rPr>
        <w:t>决算编制的说明</w:t>
      </w:r>
    </w:p>
    <w:p>
      <w:pPr>
        <w:widowControl/>
        <w:jc w:val="center"/>
        <w:rPr>
          <w:rFonts w:ascii="仿宋_GB2312"/>
          <w:sz w:val="28"/>
          <w:szCs w:val="28"/>
        </w:rPr>
      </w:pPr>
    </w:p>
    <w:p>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pPr>
        <w:pStyle w:val="11"/>
        <w:spacing w:line="500" w:lineRule="exact"/>
        <w:jc w:val="center"/>
        <w:rPr>
          <w:rFonts w:hint="eastAsia" w:ascii="仿宋_GB2312" w:eastAsia="仿宋_GB2312"/>
          <w:i w:val="0"/>
          <w:color w:val="auto"/>
          <w:sz w:val="32"/>
        </w:rPr>
      </w:pPr>
      <w:r>
        <w:rPr>
          <w:rFonts w:hint="eastAsia" w:ascii="仿宋_GB2312" w:eastAsia="仿宋_GB2312"/>
          <w:i w:val="0"/>
          <w:color w:val="auto"/>
          <w:sz w:val="32"/>
        </w:rPr>
        <w:t>公开时间：202</w:t>
      </w:r>
      <w:r>
        <w:rPr>
          <w:rFonts w:hint="eastAsia" w:ascii="仿宋_GB2312" w:eastAsia="仿宋_GB2312"/>
          <w:i w:val="0"/>
          <w:color w:val="auto"/>
          <w:sz w:val="32"/>
          <w:lang w:val="en-US" w:eastAsia="zh-CN"/>
        </w:rPr>
        <w:t>3</w:t>
      </w:r>
      <w:r>
        <w:rPr>
          <w:rFonts w:hint="eastAsia" w:ascii="仿宋_GB2312" w:eastAsia="仿宋_GB2312"/>
          <w:i w:val="0"/>
          <w:color w:val="auto"/>
          <w:sz w:val="32"/>
        </w:rPr>
        <w:t>年</w:t>
      </w:r>
      <w:r>
        <w:rPr>
          <w:rFonts w:hint="eastAsia" w:ascii="仿宋_GB2312" w:eastAsia="仿宋_GB2312"/>
          <w:i w:val="0"/>
          <w:color w:val="auto"/>
          <w:sz w:val="32"/>
          <w:lang w:val="en-US" w:eastAsia="zh-CN"/>
        </w:rPr>
        <w:t>10</w:t>
      </w:r>
      <w:r>
        <w:rPr>
          <w:rFonts w:hint="eastAsia" w:ascii="仿宋_GB2312" w:eastAsia="仿宋_GB2312"/>
          <w:i w:val="0"/>
          <w:color w:val="auto"/>
          <w:sz w:val="32"/>
        </w:rPr>
        <w:t>月</w:t>
      </w:r>
      <w:r>
        <w:rPr>
          <w:rFonts w:hint="eastAsia" w:ascii="仿宋_GB2312" w:eastAsia="仿宋_GB2312"/>
          <w:i w:val="0"/>
          <w:color w:val="auto"/>
          <w:sz w:val="32"/>
          <w:lang w:val="en-US" w:eastAsia="zh-CN"/>
        </w:rPr>
        <w:t>18</w:t>
      </w:r>
      <w:r>
        <w:rPr>
          <w:rFonts w:hint="eastAsia" w:ascii="仿宋_GB2312" w:eastAsia="仿宋_GB2312"/>
          <w:i w:val="0"/>
          <w:color w:val="auto"/>
          <w:sz w:val="32"/>
        </w:rPr>
        <w:t>日</w:t>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TOC \o "1-2" \h \z \u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_Toc3028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 xml:space="preserve">第一部分 </w:t>
      </w:r>
      <w:r>
        <w:rPr>
          <w:rFonts w:hint="eastAsia" w:ascii="仿宋_GB2312" w:hAnsi="仿宋_GB2312" w:eastAsia="仿宋_GB2312" w:cs="仿宋_GB2312"/>
          <w:b w:val="0"/>
          <w:bCs w:val="0"/>
          <w:i w:val="0"/>
          <w:iCs w:val="0"/>
          <w:sz w:val="32"/>
          <w:szCs w:val="32"/>
          <w:lang w:val="en-US" w:eastAsia="zh-CN"/>
        </w:rPr>
        <w:t>单位</w:t>
      </w:r>
      <w:r>
        <w:rPr>
          <w:rFonts w:hint="eastAsia" w:ascii="仿宋_GB2312" w:hAnsi="仿宋_GB2312" w:eastAsia="仿宋_GB2312" w:cs="仿宋_GB2312"/>
          <w:b w:val="0"/>
          <w:bCs w:val="0"/>
          <w:i w:val="0"/>
          <w:iCs w:val="0"/>
          <w:sz w:val="32"/>
          <w:szCs w:val="32"/>
        </w:rPr>
        <w:t>概况</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_Toc3028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_Toc13157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lang w:eastAsia="zh-CN"/>
        </w:rPr>
        <w:t>一、主要职责</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_Toc13157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_Toc1989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lang w:val="en-US" w:eastAsia="zh-CN"/>
        </w:rPr>
        <w:t>二、机构设置</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_Toc1989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_Toc13662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第二部分 202</w:t>
      </w:r>
      <w:r>
        <w:rPr>
          <w:rFonts w:hint="eastAsia" w:ascii="仿宋_GB2312" w:hAnsi="仿宋_GB2312" w:eastAsia="仿宋_GB2312" w:cs="仿宋_GB2312"/>
          <w:b w:val="0"/>
          <w:bCs w:val="0"/>
          <w:i w:val="0"/>
          <w:iCs w:val="0"/>
          <w:sz w:val="32"/>
          <w:szCs w:val="32"/>
          <w:lang w:val="en-US" w:eastAsia="zh-CN"/>
        </w:rPr>
        <w:t>2</w:t>
      </w:r>
      <w:r>
        <w:rPr>
          <w:rFonts w:hint="eastAsia" w:ascii="仿宋_GB2312" w:hAnsi="仿宋_GB2312" w:eastAsia="仿宋_GB2312" w:cs="仿宋_GB2312"/>
          <w:b w:val="0"/>
          <w:bCs w:val="0"/>
          <w:i w:val="0"/>
          <w:iCs w:val="0"/>
          <w:sz w:val="32"/>
          <w:szCs w:val="32"/>
        </w:rPr>
        <w:t>年度</w:t>
      </w:r>
      <w:r>
        <w:rPr>
          <w:rFonts w:hint="eastAsia" w:ascii="仿宋_GB2312" w:hAnsi="仿宋_GB2312" w:eastAsia="仿宋_GB2312" w:cs="仿宋_GB2312"/>
          <w:b w:val="0"/>
          <w:bCs w:val="0"/>
          <w:i w:val="0"/>
          <w:iCs w:val="0"/>
          <w:sz w:val="32"/>
          <w:szCs w:val="32"/>
          <w:lang w:val="en-US" w:eastAsia="zh-CN"/>
        </w:rPr>
        <w:t>单位</w:t>
      </w:r>
      <w:r>
        <w:rPr>
          <w:rFonts w:hint="eastAsia" w:ascii="仿宋_GB2312" w:hAnsi="仿宋_GB2312" w:eastAsia="仿宋_GB2312" w:cs="仿宋_GB2312"/>
          <w:b w:val="0"/>
          <w:bCs w:val="0"/>
          <w:i w:val="0"/>
          <w:iCs w:val="0"/>
          <w:sz w:val="32"/>
          <w:szCs w:val="32"/>
        </w:rPr>
        <w:t>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_Toc13662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_Toc18582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 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_Toc18582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_Toc9811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 收入决算情况说明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_Toc9811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_Toc17567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三、 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_Toc17567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_Toc2589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四、财政拨款收入支出决算总体情况说明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_Toc2589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_Toc17328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五、一般公共预算财政拨款支出决算情况说明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_Toc17328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_Toc30529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六、一般公共预算财政拨款基本支出决算情况说明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_Toc30529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8</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_Toc98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七、“三公”经费财政拨款支出决算情况说明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_Toc98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9</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_Toc27509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八、政府性基金预算支出决算情况说明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_Toc27509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九、 国有资本经营预算支出决算情况说明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_Toc15678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十、其他重要事项的情况说明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_Toc15678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_Toc19818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第三部分 名词解释</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_Toc19818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_Toc23450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第四部分 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_Toc23450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17</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_Toc3613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第五部分 附表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_Toc3613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_Toc21455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一、收入支出决算总表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_Toc21455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_Toc19902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二、收入决算表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_Toc19902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_Toc5842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三、支出决算表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_Toc5842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_Toc3877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四、财政拨款收入支出决算总表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_Toc3877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_Toc750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五、财政拨款支出决算明细表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_Toc750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_Toc19194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六、一般公共预算财政拨款支出决算表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_Toc19194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_Toc7054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七、一般公共预算财政拨款支出决算明细表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_Toc7054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_Toc14041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八、一般公共预算财政拨款基本支出决算表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_Toc14041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_Toc26706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九、一般公共预算财政拨款项目支出决算表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_Toc26706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_Toc2700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十、政府性基金预算财政拨款收入支出决算表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_Toc2700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_Toc32218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十一、国有资本经营预算</w:t>
      </w:r>
      <w:r>
        <w:rPr>
          <w:rFonts w:hint="eastAsia" w:ascii="仿宋_GB2312" w:hAnsi="仿宋_GB2312" w:eastAsia="仿宋_GB2312" w:cs="仿宋_GB2312"/>
          <w:b w:val="0"/>
          <w:bCs w:val="0"/>
          <w:i w:val="0"/>
          <w:iCs w:val="0"/>
          <w:sz w:val="32"/>
          <w:szCs w:val="32"/>
          <w:highlight w:val="none"/>
          <w:lang w:eastAsia="zh-CN"/>
        </w:rPr>
        <w:t>财政拨款收入</w:t>
      </w:r>
      <w:r>
        <w:rPr>
          <w:rFonts w:hint="eastAsia" w:ascii="仿宋_GB2312" w:hAnsi="仿宋_GB2312" w:eastAsia="仿宋_GB2312" w:cs="仿宋_GB2312"/>
          <w:b w:val="0"/>
          <w:bCs w:val="0"/>
          <w:i w:val="0"/>
          <w:iCs w:val="0"/>
          <w:sz w:val="32"/>
          <w:szCs w:val="32"/>
          <w:highlight w:val="none"/>
        </w:rPr>
        <w:t>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_Toc32218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_Toc23596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十二、</w:t>
      </w:r>
      <w:r>
        <w:rPr>
          <w:rFonts w:hint="eastAsia" w:ascii="仿宋_GB2312" w:hAnsi="仿宋_GB2312" w:eastAsia="仿宋_GB2312" w:cs="仿宋_GB2312"/>
          <w:b w:val="0"/>
          <w:bCs w:val="0"/>
          <w:i w:val="0"/>
          <w:iCs w:val="0"/>
          <w:sz w:val="32"/>
          <w:szCs w:val="32"/>
          <w:highlight w:val="none"/>
          <w:lang w:eastAsia="zh-CN"/>
        </w:rPr>
        <w:t>国有资本经营预算财政拨款支出决算表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_Toc23596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2"/>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_Toc1521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十三、</w:t>
      </w:r>
      <w:r>
        <w:rPr>
          <w:rFonts w:hint="eastAsia" w:ascii="仿宋_GB2312" w:hAnsi="仿宋_GB2312" w:eastAsia="仿宋_GB2312" w:cs="仿宋_GB2312"/>
          <w:b w:val="0"/>
          <w:bCs w:val="0"/>
          <w:i w:val="0"/>
          <w:iCs w:val="0"/>
          <w:sz w:val="32"/>
          <w:szCs w:val="32"/>
          <w:highlight w:val="none"/>
          <w:lang w:eastAsia="zh-CN"/>
        </w:rPr>
        <w:t>财政拨款“三公”经费支出决算表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_Toc1521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2400" w:firstLineChars="750"/>
        <w:textAlignment w:val="auto"/>
        <w:rPr>
          <w:rFonts w:hint="eastAsia" w:ascii="仿宋_GB2312" w:hAnsi="仿宋"/>
          <w:color w:val="FF0000"/>
          <w:szCs w:val="32"/>
        </w:rPr>
      </w:pPr>
      <w:r>
        <w:rPr>
          <w:rFonts w:hint="eastAsia" w:ascii="仿宋_GB2312" w:hAnsi="仿宋_GB2312" w:eastAsia="仿宋_GB2312" w:cs="仿宋_GB2312"/>
          <w:b w:val="0"/>
          <w:bCs w:val="0"/>
          <w:i w:val="0"/>
          <w:iCs w:val="0"/>
          <w:caps/>
          <w:sz w:val="32"/>
          <w:szCs w:val="32"/>
        </w:rPr>
        <w:fldChar w:fldCharType="end"/>
      </w:r>
    </w:p>
    <w:p>
      <w:pPr>
        <w:pStyle w:val="3"/>
        <w:jc w:val="center"/>
        <w:rPr>
          <w:rFonts w:hint="eastAsia" w:ascii="黑体" w:hAnsi="黑体" w:eastAsia="黑体"/>
          <w:b w:val="0"/>
        </w:rPr>
        <w:sectPr>
          <w:pgSz w:w="11906" w:h="16838"/>
          <w:pgMar w:top="1440" w:right="1800" w:bottom="1440" w:left="1800" w:header="851" w:footer="992" w:gutter="0"/>
          <w:cols w:space="425" w:num="1"/>
          <w:docGrid w:type="lines" w:linePitch="312" w:charSpace="0"/>
        </w:sectPr>
      </w:pPr>
    </w:p>
    <w:p>
      <w:pPr>
        <w:pStyle w:val="3"/>
        <w:jc w:val="center"/>
        <w:rPr>
          <w:rStyle w:val="18"/>
          <w:rFonts w:ascii="黑体" w:hAnsi="黑体" w:eastAsia="黑体"/>
          <w:b/>
          <w:bCs w:val="0"/>
        </w:rPr>
      </w:pPr>
      <w:bookmarkStart w:id="0" w:name="_Toc3028"/>
      <w:r>
        <w:rPr>
          <w:rFonts w:hint="eastAsia" w:ascii="黑体" w:hAnsi="黑体" w:eastAsia="黑体"/>
          <w:b w:val="0"/>
        </w:rPr>
        <w:t>第一部分</w:t>
      </w:r>
      <w:r>
        <w:rPr>
          <w:rFonts w:ascii="黑体" w:hAnsi="黑体" w:eastAsia="黑体"/>
          <w:b w:val="0"/>
        </w:rPr>
        <w:t xml:space="preserve"> </w:t>
      </w:r>
      <w:r>
        <w:rPr>
          <w:rStyle w:val="18"/>
          <w:rFonts w:hint="eastAsia" w:ascii="黑体" w:hAnsi="黑体" w:eastAsia="黑体"/>
          <w:b w:val="0"/>
          <w:bCs w:val="0"/>
          <w:lang w:val="en-US" w:eastAsia="zh-CN"/>
        </w:rPr>
        <w:t>单位</w:t>
      </w:r>
      <w:r>
        <w:rPr>
          <w:rStyle w:val="18"/>
          <w:rFonts w:hint="eastAsia" w:ascii="黑体" w:hAnsi="黑体" w:eastAsia="黑体"/>
          <w:b w:val="0"/>
          <w:bCs w:val="0"/>
        </w:rPr>
        <w:t>概况</w:t>
      </w:r>
      <w:bookmarkEnd w:id="0"/>
    </w:p>
    <w:p>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ascii="黑体" w:eastAsia="黑体"/>
          <w:color w:val="000000"/>
          <w:sz w:val="32"/>
          <w:szCs w:val="32"/>
        </w:rPr>
      </w:pPr>
      <w:bookmarkStart w:id="1" w:name="_Toc14319"/>
      <w:r>
        <w:rPr>
          <w:rFonts w:hint="eastAsia" w:ascii="仿宋_GB2312" w:hAnsi="仿宋_GB2312" w:eastAsia="仿宋_GB2312" w:cs="仿宋_GB2312"/>
          <w:b w:val="0"/>
          <w:bCs w:val="0"/>
          <w:color w:val="000000"/>
          <w:kern w:val="2"/>
          <w:sz w:val="32"/>
          <w:szCs w:val="32"/>
          <w:lang w:val="en-US" w:eastAsia="zh-CN" w:bidi="ar-SA"/>
        </w:rPr>
        <w:t>自贡恐龙博物馆为自贡市文化广播电视和旅游局直属公益二类事业单位，纳入202</w:t>
      </w:r>
      <w:r>
        <w:rPr>
          <w:rFonts w:hint="eastAsia" w:ascii="仿宋_GB2312" w:hAnsi="仿宋_GB2312" w:cs="仿宋_GB2312"/>
          <w:b w:val="0"/>
          <w:bCs w:val="0"/>
          <w:color w:val="000000"/>
          <w:kern w:val="2"/>
          <w:sz w:val="32"/>
          <w:szCs w:val="32"/>
          <w:lang w:val="en-US" w:eastAsia="zh-CN" w:bidi="ar-SA"/>
        </w:rPr>
        <w:t>2</w:t>
      </w:r>
      <w:r>
        <w:rPr>
          <w:rFonts w:hint="eastAsia" w:ascii="仿宋_GB2312" w:hAnsi="仿宋_GB2312" w:eastAsia="仿宋_GB2312" w:cs="仿宋_GB2312"/>
          <w:b w:val="0"/>
          <w:bCs w:val="0"/>
          <w:color w:val="000000"/>
          <w:kern w:val="2"/>
          <w:sz w:val="32"/>
          <w:szCs w:val="32"/>
          <w:lang w:val="en-US" w:eastAsia="zh-CN" w:bidi="ar-SA"/>
        </w:rPr>
        <w:t>年决算编制范围单位1个，无下级预算单位。</w:t>
      </w:r>
      <w:bookmarkEnd w:id="1"/>
    </w:p>
    <w:p>
      <w:pPr>
        <w:pStyle w:val="4"/>
        <w:numPr>
          <w:ilvl w:val="0"/>
          <w:numId w:val="0"/>
        </w:numPr>
        <w:rPr>
          <w:rStyle w:val="22"/>
          <w:rFonts w:hint="eastAsia" w:ascii="黑体" w:hAnsi="黑体" w:eastAsia="黑体"/>
          <w:b w:val="0"/>
          <w:bCs w:val="0"/>
          <w:color w:val="auto"/>
          <w:highlight w:val="none"/>
          <w:lang w:eastAsia="zh-CN"/>
        </w:rPr>
      </w:pPr>
      <w:bookmarkStart w:id="2" w:name="_Toc13157"/>
      <w:bookmarkStart w:id="3" w:name="_Toc15396600"/>
      <w:bookmarkStart w:id="4" w:name="_Toc15377197"/>
      <w:r>
        <w:rPr>
          <w:rStyle w:val="22"/>
          <w:rFonts w:hint="eastAsia" w:ascii="黑体" w:hAnsi="黑体" w:eastAsia="黑体"/>
          <w:b w:val="0"/>
          <w:bCs w:val="0"/>
          <w:color w:val="auto"/>
          <w:highlight w:val="none"/>
          <w:lang w:eastAsia="zh-CN"/>
        </w:rPr>
        <w:t>一、主要职责</w:t>
      </w:r>
      <w:bookmarkEnd w:id="2"/>
    </w:p>
    <w:p>
      <w:pPr>
        <w:pStyle w:val="4"/>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kern w:val="0"/>
          <w:sz w:val="32"/>
          <w:szCs w:val="32"/>
        </w:rPr>
      </w:pPr>
      <w:bookmarkStart w:id="5" w:name="_Toc1989"/>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cs="仿宋_GB2312"/>
          <w:b w:val="0"/>
          <w:bCs w:val="0"/>
          <w:kern w:val="0"/>
          <w:sz w:val="32"/>
          <w:szCs w:val="32"/>
          <w:lang w:val="en-US" w:eastAsia="zh-CN"/>
        </w:rPr>
        <w:t>一</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组织开展恐龙及其他古生物化石的调查、发掘、征集、收藏、鉴定、登编、保管、研究、陈列、展示等工作。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w:t>
      </w:r>
      <w:r>
        <w:rPr>
          <w:rFonts w:hint="eastAsia" w:ascii="仿宋_GB2312" w:hAnsi="仿宋_GB2312" w:cs="仿宋_GB2312"/>
          <w:kern w:val="0"/>
          <w:sz w:val="32"/>
          <w:szCs w:val="32"/>
          <w:lang w:val="en-US" w:eastAsia="zh-CN"/>
        </w:rPr>
        <w:t>二</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组织开展古生物及地层学、旅游地学、地质公园、</w:t>
      </w:r>
      <w:r>
        <w:rPr>
          <w:rFonts w:hint="eastAsia" w:ascii="仿宋_GB2312" w:hAnsi="仿宋_GB2312" w:eastAsia="仿宋_GB2312" w:cs="仿宋_GB2312"/>
          <w:kern w:val="0"/>
          <w:sz w:val="32"/>
          <w:szCs w:val="32"/>
          <w:lang w:val="en-US" w:eastAsia="zh-CN"/>
        </w:rPr>
        <w:t>博物馆学</w:t>
      </w:r>
      <w:r>
        <w:rPr>
          <w:rFonts w:hint="eastAsia" w:ascii="仿宋_GB2312" w:hAnsi="仿宋_GB2312" w:eastAsia="仿宋_GB2312" w:cs="仿宋_GB2312"/>
          <w:kern w:val="0"/>
          <w:sz w:val="32"/>
          <w:szCs w:val="32"/>
        </w:rPr>
        <w:t>等方面的研究与学术交流活动。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w:t>
      </w:r>
      <w:r>
        <w:rPr>
          <w:rFonts w:hint="eastAsia" w:ascii="仿宋_GB2312" w:hAnsi="仿宋_GB2312" w:cs="仿宋_GB2312"/>
          <w:kern w:val="0"/>
          <w:sz w:val="32"/>
          <w:szCs w:val="32"/>
          <w:lang w:val="en-US" w:eastAsia="zh-CN"/>
        </w:rPr>
        <w:t>三</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承担文物、古生物化石和相关地质遗迹的研究、保护工作。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w:t>
      </w:r>
      <w:r>
        <w:rPr>
          <w:rFonts w:hint="eastAsia" w:ascii="仿宋_GB2312" w:hAnsi="仿宋_GB2312" w:cs="仿宋_GB2312"/>
          <w:kern w:val="0"/>
          <w:sz w:val="32"/>
          <w:szCs w:val="32"/>
          <w:lang w:val="en-US" w:eastAsia="zh-CN"/>
        </w:rPr>
        <w:t>四</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承担恐龙及其他古生物化石的修理、复原、复制、装架等工作。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w:t>
      </w:r>
      <w:r>
        <w:rPr>
          <w:rFonts w:hint="eastAsia" w:ascii="仿宋_GB2312" w:hAnsi="仿宋_GB2312" w:cs="仿宋_GB2312"/>
          <w:kern w:val="0"/>
          <w:sz w:val="32"/>
          <w:szCs w:val="32"/>
          <w:lang w:val="en-US" w:eastAsia="zh-CN"/>
        </w:rPr>
        <w:t>五</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举办恐龙及其他古生物化石的对外展览，组织开展有关文化旅游交流活动。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w:t>
      </w:r>
      <w:r>
        <w:rPr>
          <w:rFonts w:hint="eastAsia" w:ascii="仿宋_GB2312" w:hAnsi="仿宋_GB2312" w:cs="仿宋_GB2312"/>
          <w:kern w:val="0"/>
          <w:sz w:val="32"/>
          <w:szCs w:val="32"/>
          <w:lang w:val="en-US" w:eastAsia="zh-CN"/>
        </w:rPr>
        <w:t>六</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组织开展古生物知识、地学知识、环境保护知识、地方特色文化等方面的科学普及和宣传教育工作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发挥科普教育基地和爱国主义教育基地作用。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w:t>
      </w:r>
      <w:r>
        <w:rPr>
          <w:rFonts w:hint="eastAsia" w:ascii="仿宋_GB2312" w:hAnsi="仿宋_GB2312" w:cs="仿宋_GB2312"/>
          <w:kern w:val="0"/>
          <w:sz w:val="32"/>
          <w:szCs w:val="32"/>
          <w:lang w:val="en-US" w:eastAsia="zh-CN"/>
        </w:rPr>
        <w:t>七</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组织开展相关文化旅游产品开发、出版和推广工作。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w:t>
      </w:r>
      <w:r>
        <w:rPr>
          <w:rFonts w:hint="eastAsia" w:ascii="仿宋_GB2312" w:hAnsi="仿宋_GB2312" w:cs="仿宋_GB2312"/>
          <w:kern w:val="0"/>
          <w:sz w:val="32"/>
          <w:szCs w:val="32"/>
          <w:lang w:val="en-US" w:eastAsia="zh-CN"/>
        </w:rPr>
        <w:t>八</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开展服务观众游客的旅游配套服务。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w:t>
      </w:r>
      <w:r>
        <w:rPr>
          <w:rFonts w:hint="eastAsia" w:ascii="仿宋_GB2312" w:hAnsi="仿宋_GB2312" w:cs="仿宋_GB2312"/>
          <w:kern w:val="0"/>
          <w:sz w:val="32"/>
          <w:szCs w:val="32"/>
          <w:lang w:val="en-US" w:eastAsia="zh-CN"/>
        </w:rPr>
        <w:t>九</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完成市文化广电旅游局交办的其他事项。</w:t>
      </w:r>
    </w:p>
    <w:p>
      <w:pPr>
        <w:pStyle w:val="4"/>
        <w:numPr>
          <w:ilvl w:val="0"/>
          <w:numId w:val="0"/>
        </w:numPr>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w:t>
      </w:r>
      <w:bookmarkEnd w:id="3"/>
      <w:bookmarkEnd w:id="4"/>
      <w:r>
        <w:rPr>
          <w:rFonts w:hint="eastAsia" w:ascii="黑体" w:hAnsi="黑体" w:eastAsia="黑体"/>
          <w:b w:val="0"/>
          <w:color w:val="auto"/>
          <w:highlight w:val="none"/>
          <w:lang w:val="en-US" w:eastAsia="zh-CN"/>
        </w:rPr>
        <w:t>机构设置</w:t>
      </w:r>
      <w:bookmarkEnd w:id="5"/>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博物馆下设9个部门</w:t>
      </w:r>
      <w:r>
        <w:rPr>
          <w:rFonts w:hint="eastAsia" w:ascii="仿宋_GB2312" w:hAnsi="仿宋" w:eastAsia="仿宋_GB2312"/>
          <w:sz w:val="32"/>
          <w:szCs w:val="32"/>
          <w:lang w:eastAsia="zh-CN"/>
        </w:rPr>
        <w:t>包括</w:t>
      </w:r>
      <w:r>
        <w:rPr>
          <w:rFonts w:hint="eastAsia" w:ascii="仿宋_GB2312" w:hAnsi="仿宋" w:eastAsia="仿宋_GB2312"/>
          <w:sz w:val="32"/>
          <w:szCs w:val="32"/>
        </w:rPr>
        <w:t>研究部、科教部、陈列部、办公室、</w:t>
      </w:r>
      <w:r>
        <w:rPr>
          <w:rFonts w:hint="eastAsia" w:ascii="仿宋_GB2312" w:hAnsi="仿宋" w:eastAsia="仿宋_GB2312"/>
          <w:sz w:val="32"/>
          <w:szCs w:val="32"/>
          <w:lang w:eastAsia="zh-CN"/>
        </w:rPr>
        <w:t>后勤科</w:t>
      </w:r>
      <w:r>
        <w:rPr>
          <w:rFonts w:hint="eastAsia" w:ascii="仿宋_GB2312" w:hAnsi="仿宋" w:eastAsia="仿宋_GB2312"/>
          <w:sz w:val="32"/>
          <w:szCs w:val="32"/>
        </w:rPr>
        <w:t>、保卫科、旅游服务部</w:t>
      </w:r>
      <w:r>
        <w:rPr>
          <w:rFonts w:hint="eastAsia" w:ascii="仿宋_GB2312" w:hAnsi="仿宋" w:eastAsia="仿宋_GB2312"/>
          <w:sz w:val="32"/>
          <w:szCs w:val="32"/>
          <w:lang w:eastAsia="zh-CN"/>
        </w:rPr>
        <w:t>、品牌推广部、规划发展部。</w:t>
      </w:r>
    </w:p>
    <w:p>
      <w:pPr>
        <w:widowControl/>
        <w:jc w:val="left"/>
        <w:rPr>
          <w:rFonts w:ascii="仿宋" w:hAnsi="仿宋" w:eastAsia="仿宋"/>
          <w:color w:val="000000"/>
          <w:kern w:val="0"/>
          <w:sz w:val="32"/>
          <w:szCs w:val="32"/>
        </w:rPr>
      </w:pPr>
    </w:p>
    <w:p>
      <w:pPr>
        <w:rPr>
          <w:rFonts w:hint="eastAsia" w:ascii="黑体" w:hAnsi="黑体" w:eastAsia="黑体"/>
          <w:b w:val="0"/>
          <w:color w:val="000000"/>
        </w:rPr>
      </w:pPr>
      <w:bookmarkStart w:id="6" w:name="_Toc15377204"/>
      <w:bookmarkStart w:id="7" w:name="_Toc15396602"/>
      <w:r>
        <w:rPr>
          <w:rFonts w:hint="eastAsia" w:ascii="黑体" w:hAnsi="黑体" w:eastAsia="黑体"/>
          <w:b w:val="0"/>
          <w:color w:val="000000"/>
        </w:rPr>
        <w:br w:type="page"/>
      </w:r>
    </w:p>
    <w:p>
      <w:pPr>
        <w:pStyle w:val="3"/>
        <w:ind w:right="440"/>
        <w:jc w:val="right"/>
        <w:rPr>
          <w:rStyle w:val="18"/>
          <w:rFonts w:ascii="黑体" w:hAnsi="黑体" w:eastAsia="黑体"/>
          <w:b w:val="0"/>
          <w:bCs w:val="0"/>
        </w:rPr>
      </w:pPr>
      <w:bookmarkStart w:id="8" w:name="_Toc13662"/>
      <w:r>
        <w:rPr>
          <w:rFonts w:hint="eastAsia" w:ascii="黑体" w:hAnsi="黑体" w:eastAsia="黑体"/>
          <w:b w:val="0"/>
          <w:color w:val="000000"/>
        </w:rPr>
        <w:t>第二部分</w:t>
      </w:r>
      <w:r>
        <w:rPr>
          <w:rFonts w:ascii="黑体" w:hAnsi="黑体" w:eastAsia="黑体"/>
          <w:color w:val="000000"/>
        </w:rPr>
        <w:t xml:space="preserve"> </w:t>
      </w:r>
      <w:r>
        <w:rPr>
          <w:rStyle w:val="18"/>
          <w:rFonts w:ascii="黑体" w:hAnsi="黑体" w:eastAsia="黑体"/>
          <w:b w:val="0"/>
          <w:bCs w:val="0"/>
        </w:rPr>
        <w:t>202</w:t>
      </w:r>
      <w:r>
        <w:rPr>
          <w:rStyle w:val="18"/>
          <w:rFonts w:hint="eastAsia" w:ascii="黑体" w:hAnsi="黑体" w:eastAsia="黑体"/>
          <w:b w:val="0"/>
          <w:bCs w:val="0"/>
          <w:lang w:val="en-US" w:eastAsia="zh-CN"/>
        </w:rPr>
        <w:t>2</w:t>
      </w:r>
      <w:r>
        <w:rPr>
          <w:rStyle w:val="18"/>
          <w:rFonts w:hint="eastAsia" w:ascii="黑体" w:hAnsi="黑体" w:eastAsia="黑体"/>
          <w:b w:val="0"/>
          <w:bCs w:val="0"/>
        </w:rPr>
        <w:t>年度</w:t>
      </w:r>
      <w:r>
        <w:rPr>
          <w:rStyle w:val="18"/>
          <w:rFonts w:hint="eastAsia" w:ascii="黑体" w:hAnsi="黑体" w:eastAsia="黑体"/>
          <w:b w:val="0"/>
          <w:bCs w:val="0"/>
          <w:lang w:val="en-US" w:eastAsia="zh-CN"/>
        </w:rPr>
        <w:t>单位</w:t>
      </w:r>
      <w:r>
        <w:rPr>
          <w:rStyle w:val="18"/>
          <w:rFonts w:hint="eastAsia" w:ascii="黑体" w:hAnsi="黑体" w:eastAsia="黑体"/>
          <w:b w:val="0"/>
          <w:bCs w:val="0"/>
        </w:rPr>
        <w:t>决算情况说明</w:t>
      </w:r>
      <w:bookmarkEnd w:id="6"/>
      <w:bookmarkEnd w:id="7"/>
      <w:bookmarkEnd w:id="8"/>
    </w:p>
    <w:p/>
    <w:p>
      <w:pPr>
        <w:pStyle w:val="20"/>
        <w:numPr>
          <w:ilvl w:val="0"/>
          <w:numId w:val="1"/>
        </w:numPr>
        <w:spacing w:line="600" w:lineRule="exact"/>
        <w:ind w:firstLineChars="0"/>
        <w:outlineLvl w:val="1"/>
        <w:rPr>
          <w:rStyle w:val="19"/>
          <w:rFonts w:ascii="黑体" w:hAnsi="黑体" w:eastAsia="黑体"/>
          <w:b w:val="0"/>
        </w:rPr>
      </w:pPr>
      <w:bookmarkStart w:id="9" w:name="_Toc15396603"/>
      <w:bookmarkStart w:id="10" w:name="_Toc15377205"/>
      <w:bookmarkStart w:id="11" w:name="_Toc18582"/>
      <w:r>
        <w:rPr>
          <w:rFonts w:hint="eastAsia" w:ascii="黑体" w:hAnsi="黑体" w:eastAsia="黑体"/>
          <w:color w:val="000000"/>
          <w:sz w:val="32"/>
          <w:szCs w:val="32"/>
        </w:rPr>
        <w:t>收</w:t>
      </w:r>
      <w:r>
        <w:rPr>
          <w:rStyle w:val="19"/>
          <w:rFonts w:hint="eastAsia" w:ascii="黑体" w:hAnsi="黑体" w:eastAsia="黑体"/>
          <w:b w:val="0"/>
        </w:rPr>
        <w:t>入支出决算总体情况说明</w:t>
      </w:r>
      <w:bookmarkEnd w:id="9"/>
      <w:bookmarkEnd w:id="10"/>
      <w:bookmarkEnd w:id="11"/>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年度收、支总计</w:t>
      </w:r>
      <w:r>
        <w:rPr>
          <w:rFonts w:hint="eastAsia" w:ascii="仿宋_GB2312" w:hAnsi="仿宋_GB2312" w:cs="仿宋_GB2312"/>
          <w:color w:val="auto"/>
          <w:sz w:val="32"/>
          <w:szCs w:val="32"/>
          <w:highlight w:val="none"/>
          <w:lang w:val="en-US" w:eastAsia="zh-CN"/>
        </w:rPr>
        <w:t>4528.17</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年相比，收、支总计各增加</w:t>
      </w:r>
      <w:r>
        <w:rPr>
          <w:rFonts w:hint="eastAsia" w:ascii="仿宋_GB2312" w:hAnsi="仿宋_GB2312" w:cs="仿宋_GB2312"/>
          <w:color w:val="auto"/>
          <w:sz w:val="32"/>
          <w:szCs w:val="32"/>
          <w:highlight w:val="none"/>
          <w:lang w:val="en-US" w:eastAsia="zh-CN"/>
        </w:rPr>
        <w:t>1181.93</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35.32</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cs="仿宋_GB2312"/>
          <w:color w:val="auto"/>
          <w:sz w:val="32"/>
          <w:szCs w:val="32"/>
          <w:highlight w:val="none"/>
          <w:lang w:eastAsia="zh-CN"/>
        </w:rPr>
        <w:t>项目资金投入较大，如</w:t>
      </w:r>
      <w:r>
        <w:rPr>
          <w:rFonts w:hint="eastAsia" w:ascii="仿宋_GB2312" w:hAnsi="仿宋" w:eastAsia="仿宋_GB2312"/>
          <w:color w:val="auto"/>
          <w:sz w:val="32"/>
          <w:szCs w:val="32"/>
          <w:lang w:val="en-US" w:eastAsia="zh-CN"/>
        </w:rPr>
        <w:t>二号馆科普展示工程</w:t>
      </w:r>
      <w:r>
        <w:rPr>
          <w:rFonts w:hint="eastAsia" w:ascii="仿宋_GB2312" w:hAnsi="仿宋"/>
          <w:color w:val="auto"/>
          <w:sz w:val="32"/>
          <w:szCs w:val="32"/>
          <w:lang w:val="en-US" w:eastAsia="zh-CN"/>
        </w:rPr>
        <w:t>1765.18万元、</w:t>
      </w:r>
      <w:r>
        <w:rPr>
          <w:rFonts w:hint="eastAsia" w:ascii="仿宋_GB2312" w:hAnsi="仿宋" w:eastAsia="仿宋_GB2312"/>
          <w:color w:val="auto"/>
          <w:sz w:val="32"/>
          <w:szCs w:val="32"/>
          <w:lang w:val="en-US" w:eastAsia="zh-CN"/>
        </w:rPr>
        <w:t>国家文物保护专项资金376万元，数字保护及展示利用方案项目187.67万元</w:t>
      </w:r>
      <w:r>
        <w:rPr>
          <w:rFonts w:hint="eastAsia" w:ascii="仿宋_GB2312" w:hAnsi="仿宋"/>
          <w:color w:val="auto"/>
          <w:sz w:val="32"/>
          <w:szCs w:val="32"/>
          <w:lang w:val="en-US" w:eastAsia="zh-CN"/>
        </w:rPr>
        <w:t>、</w:t>
      </w:r>
      <w:r>
        <w:rPr>
          <w:rFonts w:hint="eastAsia" w:ascii="仿宋_GB2312" w:hAnsi="仿宋" w:eastAsia="仿宋_GB2312"/>
          <w:color w:val="auto"/>
          <w:sz w:val="32"/>
          <w:szCs w:val="32"/>
          <w:lang w:val="en-US" w:eastAsia="zh-CN"/>
        </w:rPr>
        <w:t>第二批国家文物保护专项资金150万元</w:t>
      </w:r>
      <w:r>
        <w:rPr>
          <w:rFonts w:hint="eastAsia" w:ascii="仿宋_GB2312" w:hAnsi="仿宋"/>
          <w:color w:val="auto"/>
          <w:sz w:val="32"/>
          <w:szCs w:val="32"/>
          <w:lang w:val="en-US" w:eastAsia="zh-CN"/>
        </w:rPr>
        <w:t>、</w:t>
      </w:r>
      <w:r>
        <w:rPr>
          <w:rFonts w:hint="eastAsia" w:ascii="仿宋_GB2312" w:hAnsi="仿宋" w:eastAsia="仿宋_GB2312"/>
          <w:color w:val="auto"/>
          <w:sz w:val="32"/>
          <w:szCs w:val="32"/>
          <w:lang w:val="en-US" w:eastAsia="zh-CN"/>
        </w:rPr>
        <w:t>大山铺化石勘探项目支出48.56万元。</w:t>
      </w:r>
    </w:p>
    <w:p>
      <w:pPr>
        <w:spacing w:line="240" w:lineRule="auto"/>
        <w:ind w:firstLine="0" w:firstLineChars="0"/>
        <w:jc w:val="left"/>
      </w:pPr>
      <w:r>
        <w:drawing>
          <wp:inline distT="0" distB="0" distL="114300" distR="114300">
            <wp:extent cx="5387340" cy="2633980"/>
            <wp:effectExtent l="4445" t="4445" r="18415" b="9525"/>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600" w:lineRule="exact"/>
        <w:ind w:firstLine="960" w:firstLineChars="300"/>
        <w:jc w:val="left"/>
      </w:pPr>
      <w:r>
        <w:rPr>
          <w:rFonts w:hint="eastAsia" w:ascii="仿宋_GB2312" w:hAnsi="仿宋_GB2312" w:eastAsia="仿宋_GB2312" w:cs="仿宋_GB2312"/>
          <w:color w:val="auto"/>
          <w:sz w:val="32"/>
          <w:szCs w:val="32"/>
          <w:highlight w:val="none"/>
        </w:rPr>
        <w:t>（图1：收、支决算总计变动情况图）（柱状图）</w:t>
      </w:r>
    </w:p>
    <w:p>
      <w:pPr>
        <w:pStyle w:val="20"/>
        <w:numPr>
          <w:ilvl w:val="0"/>
          <w:numId w:val="1"/>
        </w:numPr>
        <w:spacing w:line="600" w:lineRule="exact"/>
        <w:ind w:firstLineChars="0"/>
        <w:outlineLvl w:val="1"/>
        <w:rPr>
          <w:rStyle w:val="19"/>
          <w:rFonts w:ascii="黑体" w:hAnsi="黑体" w:eastAsia="黑体"/>
          <w:b w:val="0"/>
        </w:rPr>
      </w:pPr>
      <w:bookmarkStart w:id="12" w:name="_Toc804272208"/>
      <w:bookmarkStart w:id="13" w:name="_Toc15396604"/>
      <w:bookmarkStart w:id="14" w:name="_Toc15377206"/>
      <w:bookmarkStart w:id="15" w:name="_Toc9811"/>
      <w:r>
        <w:rPr>
          <w:rFonts w:hint="eastAsia" w:ascii="黑体" w:hAnsi="黑体" w:eastAsia="黑体"/>
          <w:color w:val="000000"/>
          <w:sz w:val="32"/>
          <w:szCs w:val="32"/>
        </w:rPr>
        <w:t>收</w:t>
      </w:r>
      <w:r>
        <w:rPr>
          <w:rStyle w:val="19"/>
          <w:rFonts w:hint="eastAsia" w:ascii="黑体" w:hAnsi="黑体" w:eastAsia="黑体"/>
          <w:b w:val="0"/>
        </w:rPr>
        <w:t>入决算情况说明</w:t>
      </w:r>
      <w:bookmarkEnd w:id="12"/>
      <w:bookmarkEnd w:id="13"/>
      <w:bookmarkEnd w:id="14"/>
      <w:bookmarkEnd w:id="15"/>
    </w:p>
    <w:p>
      <w:pPr>
        <w:spacing w:line="600" w:lineRule="exact"/>
        <w:ind w:firstLine="640" w:firstLineChars="200"/>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2022年收入合计4319.15万元，其中</w:t>
      </w:r>
      <w:r>
        <w:rPr>
          <w:rFonts w:hint="eastAsia" w:ascii="仿宋_GB2312" w:hAnsi="仿宋"/>
          <w:color w:val="auto"/>
          <w:sz w:val="32"/>
          <w:szCs w:val="32"/>
          <w:lang w:val="en-US" w:eastAsia="zh-CN"/>
        </w:rPr>
        <w:t>：</w:t>
      </w:r>
      <w:r>
        <w:rPr>
          <w:rFonts w:hint="eastAsia" w:ascii="仿宋_GB2312" w:hAnsi="仿宋_GB2312" w:eastAsia="仿宋_GB2312" w:cs="仿宋_GB2312"/>
          <w:color w:val="000000"/>
          <w:szCs w:val="32"/>
        </w:rPr>
        <w:t>一般公共预算</w:t>
      </w:r>
      <w:r>
        <w:rPr>
          <w:rFonts w:hint="eastAsia" w:ascii="仿宋_GB2312" w:hAnsi="仿宋" w:eastAsia="仿宋_GB2312"/>
          <w:color w:val="auto"/>
          <w:sz w:val="32"/>
          <w:szCs w:val="32"/>
          <w:lang w:val="en-US" w:eastAsia="zh-CN"/>
        </w:rPr>
        <w:t>财政拨款收入4188.96万元，占总收入的96.99%；经营收入107.47万元，占总收入的2.49%；其他收入22.72万元，占总收入的0.53%。</w:t>
      </w:r>
    </w:p>
    <w:p>
      <w:pPr>
        <w:pStyle w:val="6"/>
        <w:rPr>
          <w:rFonts w:ascii="仿宋" w:hAnsi="仿宋" w:eastAsia="仿宋"/>
          <w:color w:val="000000"/>
          <w:sz w:val="32"/>
          <w:szCs w:val="32"/>
        </w:rPr>
      </w:pPr>
      <w:r>
        <w:drawing>
          <wp:inline distT="0" distB="0" distL="114300" distR="114300">
            <wp:extent cx="4476750" cy="2465070"/>
            <wp:effectExtent l="4445" t="4445" r="14605" b="698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960" w:firstLineChars="300"/>
        <w:rPr>
          <w:rFonts w:ascii="仿宋_GB2312" w:eastAsia="仿宋_GB2312"/>
          <w:color w:val="FF0000"/>
          <w:sz w:val="32"/>
          <w:szCs w:val="32"/>
        </w:rPr>
      </w:pPr>
      <w:r>
        <w:rPr>
          <w:rFonts w:hint="eastAsia" w:ascii="仿宋_GB2312" w:hAnsi="仿宋_GB2312" w:eastAsia="仿宋_GB2312" w:cs="仿宋_GB2312"/>
          <w:color w:val="000000"/>
          <w:sz w:val="32"/>
          <w:szCs w:val="32"/>
        </w:rPr>
        <w:t>（图2：收入决算结构图）（饼状图）</w:t>
      </w:r>
    </w:p>
    <w:p>
      <w:pPr>
        <w:pStyle w:val="20"/>
        <w:numPr>
          <w:ilvl w:val="0"/>
          <w:numId w:val="1"/>
        </w:numPr>
        <w:spacing w:line="600" w:lineRule="exact"/>
        <w:ind w:firstLineChars="0"/>
        <w:outlineLvl w:val="1"/>
        <w:rPr>
          <w:rStyle w:val="19"/>
          <w:rFonts w:ascii="黑体" w:hAnsi="黑体" w:eastAsia="黑体"/>
          <w:b w:val="0"/>
        </w:rPr>
      </w:pPr>
      <w:bookmarkStart w:id="16" w:name="_Toc15396605"/>
      <w:bookmarkStart w:id="17" w:name="_Toc15377207"/>
      <w:bookmarkStart w:id="18" w:name="_Toc17567"/>
      <w:bookmarkStart w:id="19" w:name="_Toc609704471"/>
      <w:r>
        <w:rPr>
          <w:rFonts w:hint="eastAsia" w:ascii="黑体" w:hAnsi="黑体" w:eastAsia="黑体"/>
          <w:color w:val="000000"/>
          <w:sz w:val="32"/>
          <w:szCs w:val="32"/>
        </w:rPr>
        <w:t>支</w:t>
      </w:r>
      <w:r>
        <w:rPr>
          <w:rStyle w:val="19"/>
          <w:rFonts w:hint="eastAsia" w:ascii="黑体" w:hAnsi="黑体" w:eastAsia="黑体"/>
          <w:b w:val="0"/>
        </w:rPr>
        <w:t>出决算情况说明</w:t>
      </w:r>
      <w:bookmarkEnd w:id="16"/>
      <w:bookmarkEnd w:id="17"/>
      <w:bookmarkEnd w:id="18"/>
      <w:bookmarkEnd w:id="19"/>
    </w:p>
    <w:p>
      <w:pPr>
        <w:spacing w:line="60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 w:eastAsia="仿宋_GB2312"/>
          <w:color w:val="auto"/>
          <w:sz w:val="32"/>
          <w:szCs w:val="32"/>
          <w:lang w:val="en-US" w:eastAsia="zh-CN"/>
        </w:rPr>
        <w:t>2022年总支出4307.75万元，其中基本支出2108.01万元，占比48.94%；项目支出2105.08万元，占比48.87%；经营支出94.66万元</w:t>
      </w:r>
      <w:r>
        <w:rPr>
          <w:rFonts w:hint="eastAsia" w:ascii="仿宋_GB2312" w:hAnsi="仿宋"/>
          <w:color w:val="auto"/>
          <w:sz w:val="32"/>
          <w:szCs w:val="32"/>
          <w:lang w:val="en-US" w:eastAsia="zh-CN"/>
        </w:rPr>
        <w:t>，</w:t>
      </w:r>
      <w:r>
        <w:rPr>
          <w:rFonts w:hint="eastAsia" w:ascii="仿宋_GB2312" w:hAnsi="仿宋" w:eastAsia="仿宋_GB2312"/>
          <w:color w:val="auto"/>
          <w:sz w:val="32"/>
          <w:szCs w:val="32"/>
          <w:lang w:val="en-US" w:eastAsia="zh-CN"/>
        </w:rPr>
        <w:t>占比2.20%。</w:t>
      </w:r>
    </w:p>
    <w:p>
      <w:pPr>
        <w:spacing w:line="240" w:lineRule="auto"/>
        <w:ind w:firstLine="0" w:firstLineChars="0"/>
        <w:rPr>
          <w:rFonts w:hint="eastAsia" w:ascii="仿宋_GB2312" w:hAnsi="仿宋_GB2312" w:eastAsia="仿宋_GB2312" w:cs="仿宋_GB2312"/>
          <w:color w:val="000000"/>
          <w:sz w:val="32"/>
          <w:szCs w:val="32"/>
        </w:rPr>
      </w:pPr>
      <w:r>
        <w:drawing>
          <wp:inline distT="0" distB="0" distL="114300" distR="114300">
            <wp:extent cx="4572000" cy="27432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960" w:firstLineChars="300"/>
        <w:rPr>
          <w:rFonts w:ascii="仿宋_GB2312" w:eastAsia="仿宋_GB2312"/>
          <w:color w:val="FF0000"/>
          <w:sz w:val="32"/>
          <w:szCs w:val="32"/>
        </w:rPr>
      </w:pPr>
      <w:r>
        <w:rPr>
          <w:rFonts w:hint="eastAsia" w:ascii="仿宋_GB2312" w:hAnsi="仿宋_GB2312" w:eastAsia="仿宋_GB2312" w:cs="仿宋_GB2312"/>
          <w:color w:val="000000"/>
          <w:sz w:val="32"/>
          <w:szCs w:val="32"/>
        </w:rPr>
        <w:t>（图3：支出决算结构图）（饼状图）</w:t>
      </w:r>
    </w:p>
    <w:p>
      <w:pPr>
        <w:spacing w:line="600" w:lineRule="exact"/>
        <w:ind w:firstLine="640" w:firstLineChars="200"/>
        <w:outlineLvl w:val="1"/>
        <w:rPr>
          <w:rStyle w:val="19"/>
          <w:rFonts w:ascii="黑体" w:hAnsi="黑体" w:eastAsia="黑体"/>
          <w:b w:val="0"/>
        </w:rPr>
      </w:pPr>
      <w:bookmarkStart w:id="20" w:name="_Toc2589"/>
      <w:bookmarkStart w:id="21" w:name="_Toc15396606"/>
      <w:bookmarkStart w:id="22" w:name="_Toc1887585605"/>
      <w:bookmarkStart w:id="23" w:name="_Toc15377208"/>
      <w:r>
        <w:rPr>
          <w:rFonts w:hint="eastAsia" w:ascii="黑体" w:hAnsi="黑体" w:eastAsia="黑体"/>
          <w:color w:val="000000"/>
          <w:sz w:val="32"/>
          <w:szCs w:val="32"/>
        </w:rPr>
        <w:t>四、财</w:t>
      </w:r>
      <w:r>
        <w:rPr>
          <w:rStyle w:val="19"/>
          <w:rFonts w:hint="eastAsia" w:ascii="黑体" w:hAnsi="黑体" w:eastAsia="黑体"/>
          <w:b w:val="0"/>
        </w:rPr>
        <w:t>政拨款收入支出决算总体情况说明</w:t>
      </w:r>
      <w:bookmarkEnd w:id="20"/>
      <w:bookmarkEnd w:id="21"/>
      <w:bookmarkEnd w:id="22"/>
      <w:bookmarkEnd w:id="23"/>
    </w:p>
    <w:p>
      <w:pPr>
        <w:spacing w:line="600" w:lineRule="exact"/>
        <w:ind w:firstLine="640"/>
        <w:rPr>
          <w:rFonts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年财政拨款收、支总计</w:t>
      </w:r>
      <w:r>
        <w:rPr>
          <w:rFonts w:hint="eastAsia" w:ascii="仿宋_GB2312" w:hAnsi="仿宋_GB2312" w:cs="仿宋_GB2312"/>
          <w:color w:val="auto"/>
          <w:sz w:val="32"/>
          <w:szCs w:val="32"/>
          <w:highlight w:val="none"/>
          <w:lang w:val="en-US" w:eastAsia="zh-CN"/>
        </w:rPr>
        <w:t>4188.96</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年相比，财政拨款收、支总计各增加</w:t>
      </w:r>
      <w:r>
        <w:rPr>
          <w:rFonts w:hint="eastAsia" w:ascii="仿宋_GB2312" w:hAnsi="仿宋_GB2312" w:cs="仿宋_GB2312"/>
          <w:color w:val="auto"/>
          <w:sz w:val="32"/>
          <w:szCs w:val="32"/>
          <w:highlight w:val="none"/>
          <w:lang w:val="en-US" w:eastAsia="zh-CN"/>
        </w:rPr>
        <w:t>1216.7</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40.94</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cs="仿宋_GB2312"/>
          <w:color w:val="auto"/>
          <w:sz w:val="32"/>
          <w:szCs w:val="32"/>
          <w:highlight w:val="none"/>
          <w:lang w:eastAsia="zh-CN"/>
        </w:rPr>
        <w:t>项目资金投入较大，如</w:t>
      </w:r>
      <w:r>
        <w:rPr>
          <w:rFonts w:hint="eastAsia" w:ascii="仿宋_GB2312" w:hAnsi="仿宋_GB2312" w:cs="仿宋_GB2312"/>
          <w:color w:val="auto"/>
          <w:sz w:val="32"/>
          <w:szCs w:val="32"/>
          <w:highlight w:val="none"/>
          <w:lang w:val="en-US" w:eastAsia="zh-CN"/>
        </w:rPr>
        <w:t>完成</w:t>
      </w:r>
      <w:r>
        <w:rPr>
          <w:rFonts w:hint="eastAsia" w:ascii="仿宋_GB2312" w:hAnsi="仿宋" w:eastAsia="仿宋_GB2312"/>
          <w:color w:val="auto"/>
          <w:sz w:val="32"/>
          <w:szCs w:val="32"/>
          <w:lang w:val="en-US" w:eastAsia="zh-CN"/>
        </w:rPr>
        <w:t>二号馆科普展示工程</w:t>
      </w:r>
      <w:r>
        <w:rPr>
          <w:rFonts w:hint="eastAsia" w:ascii="仿宋_GB2312" w:hAnsi="仿宋"/>
          <w:color w:val="auto"/>
          <w:sz w:val="32"/>
          <w:szCs w:val="32"/>
          <w:lang w:val="en-US" w:eastAsia="zh-CN"/>
        </w:rPr>
        <w:t>项目、</w:t>
      </w:r>
      <w:r>
        <w:rPr>
          <w:rFonts w:hint="eastAsia" w:ascii="仿宋_GB2312" w:hAnsi="仿宋" w:eastAsia="仿宋_GB2312"/>
          <w:color w:val="auto"/>
          <w:sz w:val="32"/>
          <w:szCs w:val="32"/>
          <w:lang w:val="en-US" w:eastAsia="zh-CN"/>
        </w:rPr>
        <w:t>数字保护及展示利用方案项目</w:t>
      </w:r>
      <w:r>
        <w:rPr>
          <w:rFonts w:hint="eastAsia" w:ascii="仿宋_GB2312" w:hAnsi="仿宋"/>
          <w:color w:val="auto"/>
          <w:sz w:val="32"/>
          <w:szCs w:val="32"/>
          <w:lang w:val="en-US" w:eastAsia="zh-CN"/>
        </w:rPr>
        <w:t>及</w:t>
      </w:r>
      <w:r>
        <w:rPr>
          <w:rFonts w:hint="eastAsia" w:ascii="仿宋_GB2312" w:hAnsi="仿宋" w:eastAsia="仿宋_GB2312"/>
          <w:color w:val="auto"/>
          <w:sz w:val="32"/>
          <w:szCs w:val="32"/>
          <w:lang w:val="en-US" w:eastAsia="zh-CN"/>
        </w:rPr>
        <w:t>大山铺化石勘探项目。</w:t>
      </w:r>
    </w:p>
    <w:p>
      <w:pPr>
        <w:spacing w:line="240" w:lineRule="auto"/>
      </w:pPr>
      <w:r>
        <w:drawing>
          <wp:inline distT="0" distB="0" distL="114300" distR="114300">
            <wp:extent cx="5134610" cy="2482850"/>
            <wp:effectExtent l="4445" t="4445" r="23495" b="825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320" w:firstLineChars="100"/>
        <w:rPr>
          <w:rFonts w:ascii="仿宋" w:hAnsi="仿宋" w:eastAsia="仿宋"/>
          <w:b/>
          <w:color w:val="00B050"/>
          <w:sz w:val="32"/>
          <w:szCs w:val="32"/>
        </w:rPr>
      </w:pPr>
      <w:r>
        <w:rPr>
          <w:rFonts w:hint="eastAsia" w:ascii="仿宋_GB2312" w:hAnsi="仿宋_GB2312" w:eastAsia="仿宋_GB2312" w:cs="仿宋_GB2312"/>
          <w:color w:val="000000"/>
          <w:sz w:val="32"/>
          <w:szCs w:val="32"/>
        </w:rPr>
        <w:t>（图4：财政拨款收、支决算总计变动情况）（柱状图）</w:t>
      </w:r>
    </w:p>
    <w:p>
      <w:pPr>
        <w:spacing w:line="600" w:lineRule="exact"/>
        <w:ind w:firstLine="640" w:firstLineChars="200"/>
        <w:outlineLvl w:val="1"/>
        <w:rPr>
          <w:rStyle w:val="19"/>
          <w:rFonts w:ascii="黑体" w:hAnsi="黑体" w:eastAsia="黑体"/>
          <w:b w:val="0"/>
        </w:rPr>
      </w:pPr>
      <w:bookmarkStart w:id="24" w:name="_Toc883410705"/>
      <w:bookmarkStart w:id="25" w:name="_Toc15396607"/>
      <w:bookmarkStart w:id="26" w:name="_Toc17328"/>
      <w:bookmarkStart w:id="2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9"/>
          <w:rFonts w:hint="eastAsia" w:ascii="黑体" w:hAnsi="黑体" w:eastAsia="黑体"/>
          <w:b w:val="0"/>
        </w:rPr>
        <w:t>般公共预算财政拨款支出决算情况说明</w:t>
      </w:r>
      <w:bookmarkEnd w:id="24"/>
      <w:bookmarkEnd w:id="25"/>
      <w:bookmarkEnd w:id="26"/>
      <w:bookmarkEnd w:id="27"/>
    </w:p>
    <w:p>
      <w:pPr>
        <w:spacing w:line="600" w:lineRule="exact"/>
        <w:ind w:firstLine="643" w:firstLineChars="200"/>
        <w:outlineLvl w:val="2"/>
        <w:rPr>
          <w:rFonts w:ascii="仿宋" w:hAnsi="仿宋" w:eastAsia="仿宋"/>
          <w:b/>
          <w:color w:val="000000"/>
          <w:sz w:val="32"/>
          <w:szCs w:val="32"/>
        </w:rPr>
      </w:pPr>
      <w:bookmarkStart w:id="28" w:name="_Toc15377210"/>
      <w:r>
        <w:rPr>
          <w:rFonts w:hint="eastAsia" w:ascii="仿宋" w:hAnsi="仿宋" w:eastAsia="仿宋"/>
          <w:b/>
          <w:color w:val="000000"/>
          <w:sz w:val="32"/>
          <w:szCs w:val="32"/>
        </w:rPr>
        <w:t>（一）一般公共预算财政拨款支出决算总体情况</w:t>
      </w:r>
      <w:bookmarkEnd w:id="28"/>
    </w:p>
    <w:p>
      <w:pPr>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cs="仿宋_GB2312"/>
          <w:color w:val="auto"/>
          <w:sz w:val="32"/>
          <w:szCs w:val="32"/>
          <w:highlight w:val="none"/>
          <w:lang w:val="en-US" w:eastAsia="zh-CN"/>
        </w:rPr>
        <w:t>4188.96</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cs="仿宋_GB2312"/>
          <w:color w:val="auto"/>
          <w:sz w:val="32"/>
          <w:szCs w:val="32"/>
          <w:highlight w:val="none"/>
          <w:lang w:val="en-US" w:eastAsia="zh-CN"/>
        </w:rPr>
        <w:t>97.24</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cs="仿宋_GB2312"/>
          <w:color w:val="auto"/>
          <w:sz w:val="32"/>
          <w:szCs w:val="32"/>
          <w:highlight w:val="none"/>
          <w:lang w:val="en-US" w:eastAsia="zh-CN"/>
        </w:rPr>
        <w:t>1216.7</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40.94</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cs="仿宋_GB2312"/>
          <w:color w:val="auto"/>
          <w:sz w:val="32"/>
          <w:szCs w:val="32"/>
          <w:highlight w:val="none"/>
          <w:lang w:eastAsia="zh-CN"/>
        </w:rPr>
        <w:t>项目资金投入较大及社保调资上涨。</w:t>
      </w:r>
    </w:p>
    <w:p>
      <w:pPr>
        <w:spacing w:line="240" w:lineRule="auto"/>
        <w:ind w:firstLine="0" w:firstLineChars="0"/>
        <w:rPr>
          <w:rFonts w:hint="eastAsia" w:ascii="仿宋" w:hAnsi="仿宋" w:eastAsia="仿宋"/>
          <w:b/>
          <w:color w:val="FF0000"/>
          <w:sz w:val="32"/>
          <w:szCs w:val="32"/>
        </w:rPr>
      </w:pPr>
      <w:r>
        <w:drawing>
          <wp:inline distT="0" distB="0" distL="114300" distR="114300">
            <wp:extent cx="4572000" cy="2762250"/>
            <wp:effectExtent l="4445" t="4445" r="14605" b="1460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3" w:firstLineChars="200"/>
        <w:rPr>
          <w:rFonts w:ascii="仿宋" w:hAnsi="仿宋" w:eastAsia="仿宋"/>
          <w:color w:val="000000"/>
          <w:sz w:val="32"/>
          <w:szCs w:val="32"/>
        </w:rPr>
      </w:pPr>
      <w:r>
        <w:rPr>
          <w:rFonts w:hint="eastAsia" w:ascii="仿宋" w:hAnsi="仿宋" w:eastAsia="仿宋"/>
          <w:b/>
          <w:color w:val="FF0000"/>
          <w:sz w:val="32"/>
          <w:szCs w:val="32"/>
          <w:lang w:val="en-US" w:eastAsia="zh-CN"/>
        </w:rPr>
        <w:t xml:space="preserve"> </w:t>
      </w:r>
      <w:r>
        <w:rPr>
          <w:rFonts w:hint="eastAsia" w:ascii="仿宋_GB2312" w:hAnsi="仿宋_GB2312" w:eastAsia="仿宋_GB2312" w:cs="仿宋_GB2312"/>
          <w:color w:val="000000"/>
          <w:sz w:val="32"/>
          <w:szCs w:val="32"/>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29" w:name="_Toc15377211"/>
      <w:r>
        <w:rPr>
          <w:rFonts w:hint="eastAsia" w:ascii="仿宋" w:hAnsi="仿宋" w:eastAsia="仿宋"/>
          <w:b/>
          <w:color w:val="000000"/>
          <w:sz w:val="32"/>
          <w:szCs w:val="32"/>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cs="仿宋_GB2312"/>
          <w:color w:val="auto"/>
          <w:sz w:val="32"/>
          <w:szCs w:val="32"/>
          <w:highlight w:val="none"/>
          <w:lang w:val="en-US" w:eastAsia="zh-CN"/>
        </w:rPr>
        <w:t>4188.96</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b w:val="0"/>
          <w:bCs w:val="0"/>
          <w:color w:val="000000"/>
          <w:szCs w:val="32"/>
        </w:rPr>
        <w:t>文化旅游体育与传媒支出</w:t>
      </w:r>
      <w:r>
        <w:rPr>
          <w:rFonts w:hint="eastAsia" w:ascii="仿宋_GB2312" w:hAnsi="仿宋_GB2312" w:cs="仿宋_GB2312"/>
          <w:b w:val="0"/>
          <w:bCs w:val="0"/>
          <w:color w:val="000000"/>
          <w:szCs w:val="32"/>
          <w:lang w:val="en-US" w:eastAsia="zh-CN"/>
        </w:rPr>
        <w:t>3896.38</w:t>
      </w:r>
      <w:r>
        <w:rPr>
          <w:rFonts w:hint="eastAsia" w:ascii="仿宋_GB2312" w:hAnsi="仿宋_GB2312" w:eastAsia="仿宋_GB2312" w:cs="仿宋_GB2312"/>
          <w:b w:val="0"/>
          <w:bCs w:val="0"/>
          <w:color w:val="000000"/>
          <w:szCs w:val="32"/>
        </w:rPr>
        <w:t>万元，占</w:t>
      </w:r>
      <w:r>
        <w:rPr>
          <w:rFonts w:hint="eastAsia" w:ascii="仿宋_GB2312" w:hAnsi="仿宋_GB2312" w:cs="仿宋_GB2312"/>
          <w:b w:val="0"/>
          <w:bCs w:val="0"/>
          <w:color w:val="000000"/>
          <w:szCs w:val="32"/>
          <w:lang w:val="en-US" w:eastAsia="zh-CN"/>
        </w:rPr>
        <w:t>93.02</w:t>
      </w:r>
      <w:r>
        <w:rPr>
          <w:rFonts w:hint="eastAsia" w:ascii="仿宋_GB2312" w:hAnsi="仿宋_GB2312" w:eastAsia="仿宋_GB2312" w:cs="仿宋_GB2312"/>
          <w:b w:val="0"/>
          <w:bCs w:val="0"/>
          <w:color w:val="000000"/>
          <w:szCs w:val="32"/>
        </w:rPr>
        <w:t>%；社会保障和就业支出</w:t>
      </w:r>
      <w:r>
        <w:rPr>
          <w:rFonts w:hint="eastAsia" w:ascii="仿宋_GB2312" w:hAnsi="仿宋_GB2312" w:cs="仿宋_GB2312"/>
          <w:b w:val="0"/>
          <w:bCs w:val="0"/>
          <w:color w:val="000000"/>
          <w:szCs w:val="32"/>
          <w:lang w:val="en-US" w:eastAsia="zh-CN"/>
        </w:rPr>
        <w:t>217.13</w:t>
      </w:r>
      <w:r>
        <w:rPr>
          <w:rFonts w:hint="eastAsia" w:ascii="仿宋_GB2312" w:hAnsi="仿宋_GB2312" w:eastAsia="仿宋_GB2312" w:cs="仿宋_GB2312"/>
          <w:b w:val="0"/>
          <w:bCs w:val="0"/>
          <w:color w:val="000000"/>
          <w:szCs w:val="32"/>
        </w:rPr>
        <w:t>万元，占</w:t>
      </w:r>
      <w:r>
        <w:rPr>
          <w:rFonts w:hint="eastAsia" w:ascii="仿宋_GB2312" w:hAnsi="仿宋_GB2312" w:cs="仿宋_GB2312"/>
          <w:b w:val="0"/>
          <w:bCs w:val="0"/>
          <w:color w:val="000000"/>
          <w:szCs w:val="32"/>
          <w:lang w:val="en-US" w:eastAsia="zh-CN"/>
        </w:rPr>
        <w:t>5.18</w:t>
      </w:r>
      <w:r>
        <w:rPr>
          <w:rFonts w:hint="eastAsia" w:ascii="仿宋_GB2312" w:hAnsi="仿宋_GB2312" w:eastAsia="仿宋_GB2312" w:cs="仿宋_GB2312"/>
          <w:b w:val="0"/>
          <w:bCs w:val="0"/>
          <w:color w:val="000000"/>
          <w:szCs w:val="32"/>
        </w:rPr>
        <w:t>%；卫生健康支出</w:t>
      </w:r>
      <w:r>
        <w:rPr>
          <w:rFonts w:hint="eastAsia" w:ascii="仿宋_GB2312" w:hAnsi="仿宋_GB2312" w:cs="仿宋_GB2312"/>
          <w:b w:val="0"/>
          <w:bCs w:val="0"/>
          <w:color w:val="000000"/>
          <w:szCs w:val="32"/>
          <w:lang w:val="en-US" w:eastAsia="zh-CN"/>
        </w:rPr>
        <w:t>30.5</w:t>
      </w:r>
      <w:r>
        <w:rPr>
          <w:rFonts w:hint="eastAsia" w:ascii="仿宋_GB2312" w:hAnsi="仿宋_GB2312" w:eastAsia="仿宋_GB2312" w:cs="仿宋_GB2312"/>
          <w:b w:val="0"/>
          <w:bCs w:val="0"/>
          <w:color w:val="000000"/>
          <w:szCs w:val="32"/>
        </w:rPr>
        <w:t>万元，占</w:t>
      </w:r>
      <w:r>
        <w:rPr>
          <w:rFonts w:hint="eastAsia" w:ascii="仿宋_GB2312" w:hAnsi="仿宋_GB2312" w:cs="仿宋_GB2312"/>
          <w:b w:val="0"/>
          <w:bCs w:val="0"/>
          <w:color w:val="000000"/>
          <w:szCs w:val="32"/>
          <w:lang w:val="en-US" w:eastAsia="zh-CN"/>
        </w:rPr>
        <w:t>0.73</w:t>
      </w:r>
      <w:r>
        <w:rPr>
          <w:rFonts w:hint="eastAsia" w:ascii="仿宋_GB2312" w:hAnsi="仿宋_GB2312" w:eastAsia="仿宋_GB2312" w:cs="仿宋_GB2312"/>
          <w:b w:val="0"/>
          <w:bCs w:val="0"/>
          <w:color w:val="000000"/>
          <w:szCs w:val="32"/>
        </w:rPr>
        <w:t>%；住房保障支出</w:t>
      </w:r>
      <w:r>
        <w:rPr>
          <w:rFonts w:hint="eastAsia" w:ascii="仿宋_GB2312" w:hAnsi="仿宋_GB2312" w:cs="仿宋_GB2312"/>
          <w:b w:val="0"/>
          <w:bCs w:val="0"/>
          <w:color w:val="000000"/>
          <w:szCs w:val="32"/>
          <w:lang w:val="en-US" w:eastAsia="zh-CN"/>
        </w:rPr>
        <w:t>43.57</w:t>
      </w:r>
      <w:r>
        <w:rPr>
          <w:rFonts w:hint="eastAsia" w:ascii="仿宋_GB2312" w:hAnsi="仿宋_GB2312" w:eastAsia="仿宋_GB2312" w:cs="仿宋_GB2312"/>
          <w:b w:val="0"/>
          <w:bCs w:val="0"/>
          <w:color w:val="000000"/>
          <w:szCs w:val="32"/>
        </w:rPr>
        <w:t>万元，占</w:t>
      </w:r>
      <w:r>
        <w:rPr>
          <w:rFonts w:hint="eastAsia" w:ascii="仿宋_GB2312" w:hAnsi="仿宋_GB2312" w:cs="仿宋_GB2312"/>
          <w:b w:val="0"/>
          <w:bCs w:val="0"/>
          <w:color w:val="000000"/>
          <w:szCs w:val="32"/>
          <w:lang w:val="en-US" w:eastAsia="zh-CN"/>
        </w:rPr>
        <w:t>1.04</w:t>
      </w:r>
      <w:r>
        <w:rPr>
          <w:rFonts w:hint="eastAsia" w:ascii="仿宋_GB2312" w:hAnsi="仿宋_GB2312" w:eastAsia="仿宋_GB2312" w:cs="仿宋_GB2312"/>
          <w:b w:val="0"/>
          <w:bCs w:val="0"/>
          <w:color w:val="000000"/>
          <w:szCs w:val="32"/>
        </w:rPr>
        <w:t>%</w:t>
      </w:r>
      <w:r>
        <w:rPr>
          <w:rFonts w:hint="eastAsia" w:ascii="仿宋_GB2312" w:hAnsi="仿宋_GB2312" w:eastAsia="仿宋_GB2312" w:cs="仿宋_GB2312"/>
          <w:b w:val="0"/>
          <w:bCs w:val="0"/>
          <w:color w:val="000000"/>
          <w:szCs w:val="32"/>
          <w:lang w:eastAsia="zh-CN"/>
        </w:rPr>
        <w:t>，科学技术支出</w:t>
      </w:r>
      <w:r>
        <w:rPr>
          <w:rFonts w:hint="eastAsia" w:ascii="仿宋_GB2312" w:hAnsi="仿宋_GB2312" w:eastAsia="仿宋_GB2312" w:cs="仿宋_GB2312"/>
          <w:b w:val="0"/>
          <w:bCs w:val="0"/>
          <w:color w:val="000000"/>
          <w:szCs w:val="32"/>
          <w:lang w:val="en-US" w:eastAsia="zh-CN"/>
        </w:rPr>
        <w:t>1</w:t>
      </w:r>
      <w:r>
        <w:rPr>
          <w:rFonts w:hint="eastAsia" w:ascii="仿宋_GB2312" w:hAnsi="仿宋_GB2312" w:cs="仿宋_GB2312"/>
          <w:b w:val="0"/>
          <w:bCs w:val="0"/>
          <w:color w:val="000000"/>
          <w:szCs w:val="32"/>
          <w:lang w:val="en-US" w:eastAsia="zh-CN"/>
        </w:rPr>
        <w:t>.4</w:t>
      </w:r>
      <w:r>
        <w:rPr>
          <w:rFonts w:hint="eastAsia" w:ascii="仿宋_GB2312" w:hAnsi="仿宋_GB2312" w:eastAsia="仿宋_GB2312" w:cs="仿宋_GB2312"/>
          <w:b w:val="0"/>
          <w:bCs w:val="0"/>
          <w:color w:val="000000"/>
          <w:szCs w:val="32"/>
          <w:lang w:val="en-US" w:eastAsia="zh-CN"/>
        </w:rPr>
        <w:t>万元，占比</w:t>
      </w:r>
      <w:r>
        <w:rPr>
          <w:rFonts w:hint="eastAsia" w:ascii="仿宋_GB2312" w:hAnsi="仿宋_GB2312" w:cs="仿宋_GB2312"/>
          <w:b w:val="0"/>
          <w:bCs w:val="0"/>
          <w:color w:val="000000"/>
          <w:szCs w:val="32"/>
          <w:lang w:val="en-US" w:eastAsia="zh-CN"/>
        </w:rPr>
        <w:t>0.03</w:t>
      </w:r>
      <w:r>
        <w:rPr>
          <w:rFonts w:hint="eastAsia" w:ascii="仿宋_GB2312" w:hAnsi="仿宋_GB2312" w:eastAsia="仿宋_GB2312" w:cs="仿宋_GB2312"/>
          <w:b w:val="0"/>
          <w:bCs w:val="0"/>
          <w:color w:val="000000"/>
          <w:szCs w:val="32"/>
          <w:lang w:val="en-US" w:eastAsia="zh-CN"/>
        </w:rPr>
        <w:t>%</w:t>
      </w:r>
      <w:r>
        <w:rPr>
          <w:rFonts w:hint="eastAsia" w:ascii="仿宋_GB2312" w:hAnsi="仿宋_GB2312" w:eastAsia="仿宋_GB2312" w:cs="仿宋_GB2312"/>
          <w:b w:val="0"/>
          <w:bCs w:val="0"/>
          <w:color w:val="000000"/>
          <w:szCs w:val="32"/>
        </w:rPr>
        <w:t>。</w:t>
      </w:r>
    </w:p>
    <w:p>
      <w:pPr>
        <w:spacing w:line="240" w:lineRule="auto"/>
        <w:ind w:firstLine="0"/>
        <w:rPr>
          <w:rFonts w:hint="eastAsia" w:ascii="仿宋_GB2312" w:hAnsi="仿宋_GB2312" w:eastAsia="仿宋_GB2312" w:cs="仿宋_GB2312"/>
          <w:color w:val="auto"/>
          <w:sz w:val="32"/>
          <w:szCs w:val="32"/>
          <w:highlight w:val="none"/>
        </w:rPr>
      </w:pPr>
      <w:r>
        <w:drawing>
          <wp:inline distT="0" distB="0" distL="114300" distR="114300">
            <wp:extent cx="5134610" cy="2819400"/>
            <wp:effectExtent l="4445" t="4445" r="23495" b="1460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sz w:val="32"/>
          <w:szCs w:val="32"/>
        </w:rPr>
      </w:pPr>
      <w:r>
        <w:rPr>
          <w:rFonts w:hint="eastAsia" w:ascii="仿宋_GB2312" w:hAnsi="仿宋_GB2312" w:eastAsia="仿宋_GB2312" w:cs="仿宋_GB2312"/>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0" w:name="_Toc15377212"/>
      <w:r>
        <w:rPr>
          <w:rFonts w:hint="eastAsia" w:ascii="仿宋" w:hAnsi="仿宋" w:eastAsia="仿宋"/>
          <w:b/>
          <w:color w:val="000000"/>
          <w:sz w:val="32"/>
          <w:szCs w:val="32"/>
        </w:rPr>
        <w:t>（三）一般公共预算财政拨款支出决算具体情况</w:t>
      </w:r>
      <w:bookmarkEnd w:id="30"/>
    </w:p>
    <w:p>
      <w:pPr>
        <w:spacing w:line="600" w:lineRule="exact"/>
        <w:ind w:firstLine="640" w:firstLineChars="200"/>
        <w:outlineLvl w:val="2"/>
        <w:rPr>
          <w:rFonts w:hint="eastAsia" w:ascii="仿宋_GB2312" w:hAnsi="仿宋_GB2312" w:eastAsia="仿宋_GB2312" w:cs="仿宋_GB2312"/>
          <w:b w:val="0"/>
          <w:bCs/>
          <w:color w:val="auto"/>
          <w:sz w:val="32"/>
          <w:szCs w:val="32"/>
          <w:highlight w:val="none"/>
        </w:rPr>
      </w:pPr>
      <w:bookmarkStart w:id="31" w:name="_Toc15377213"/>
      <w:bookmarkStart w:id="32" w:name="_Toc15378460"/>
      <w:bookmarkStart w:id="33" w:name="_Toc15377444"/>
      <w:r>
        <w:rPr>
          <w:rFonts w:hint="eastAsia" w:ascii="仿宋_GB2312" w:hAnsi="仿宋_GB2312" w:eastAsia="仿宋_GB2312" w:cs="仿宋_GB2312"/>
          <w:b w:val="0"/>
          <w:bCs/>
          <w:color w:val="auto"/>
          <w:sz w:val="32"/>
          <w:szCs w:val="32"/>
          <w:highlight w:val="none"/>
        </w:rPr>
        <w:t>20</w:t>
      </w:r>
      <w:r>
        <w:rPr>
          <w:rFonts w:hint="eastAsia" w:ascii="仿宋_GB2312" w:hAnsi="仿宋_GB2312" w:eastAsia="仿宋_GB2312" w:cs="仿宋_GB2312"/>
          <w:b w:val="0"/>
          <w:bCs/>
          <w:color w:val="auto"/>
          <w:sz w:val="32"/>
          <w:szCs w:val="32"/>
          <w:highlight w:val="none"/>
          <w:lang w:val="en-US" w:eastAsia="zh-CN"/>
        </w:rPr>
        <w:t>22</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般公共预算支出决算数为</w:t>
      </w:r>
      <w:r>
        <w:rPr>
          <w:rFonts w:hint="eastAsia" w:ascii="仿宋_GB2312" w:hAnsi="仿宋_GB2312" w:cs="仿宋_GB2312"/>
          <w:b w:val="0"/>
          <w:bCs/>
          <w:color w:val="auto"/>
          <w:sz w:val="32"/>
          <w:szCs w:val="32"/>
          <w:highlight w:val="none"/>
          <w:lang w:val="en-US" w:eastAsia="zh-CN"/>
        </w:rPr>
        <w:t>4188.96万元</w:t>
      </w:r>
      <w:r>
        <w:rPr>
          <w:rFonts w:hint="eastAsia" w:ascii="仿宋_GB2312" w:hAnsi="仿宋_GB2312" w:eastAsia="仿宋_GB2312" w:cs="仿宋_GB2312"/>
          <w:b w:val="0"/>
          <w:bCs/>
          <w:color w:val="auto"/>
          <w:sz w:val="32"/>
          <w:szCs w:val="32"/>
          <w:highlight w:val="none"/>
        </w:rPr>
        <w:t>，</w:t>
      </w:r>
      <w:r>
        <w:rPr>
          <w:rStyle w:val="16"/>
          <w:rFonts w:hint="eastAsia" w:ascii="仿宋_GB2312" w:hAnsi="仿宋_GB2312" w:eastAsia="仿宋_GB2312" w:cs="仿宋_GB2312"/>
          <w:b w:val="0"/>
          <w:bCs/>
          <w:color w:val="auto"/>
          <w:sz w:val="32"/>
          <w:szCs w:val="32"/>
          <w:highlight w:val="none"/>
        </w:rPr>
        <w:t>完成预算</w:t>
      </w:r>
      <w:r>
        <w:rPr>
          <w:rStyle w:val="16"/>
          <w:rFonts w:hint="eastAsia" w:ascii="仿宋_GB2312" w:hAnsi="仿宋_GB2312" w:cs="仿宋_GB2312"/>
          <w:b w:val="0"/>
          <w:bCs/>
          <w:color w:val="auto"/>
          <w:sz w:val="32"/>
          <w:szCs w:val="32"/>
          <w:highlight w:val="none"/>
          <w:lang w:val="en-US" w:eastAsia="zh-CN"/>
        </w:rPr>
        <w:t>100</w:t>
      </w:r>
      <w:r>
        <w:rPr>
          <w:rStyle w:val="16"/>
          <w:rFonts w:hint="eastAsia" w:ascii="仿宋_GB2312" w:hAnsi="仿宋_GB2312" w:eastAsia="仿宋_GB2312" w:cs="仿宋_GB2312"/>
          <w:b w:val="0"/>
          <w:bCs/>
          <w:color w:val="auto"/>
          <w:sz w:val="32"/>
          <w:szCs w:val="32"/>
          <w:highlight w:val="none"/>
        </w:rPr>
        <w:t>%。其中：</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
          <w:bCs w:val="0"/>
          <w:color w:val="000000"/>
          <w:sz w:val="32"/>
          <w:szCs w:val="32"/>
          <w:lang w:val="en-US" w:eastAsia="zh-CN"/>
        </w:rPr>
        <w:t>1</w:t>
      </w:r>
      <w:r>
        <w:rPr>
          <w:rStyle w:val="16"/>
          <w:rFonts w:hint="eastAsia" w:ascii="仿宋_GB2312" w:hAnsi="仿宋_GB2312" w:eastAsia="仿宋_GB2312" w:cs="仿宋_GB2312"/>
          <w:b/>
          <w:bCs w:val="0"/>
          <w:color w:val="000000"/>
          <w:sz w:val="32"/>
          <w:szCs w:val="32"/>
        </w:rPr>
        <w:t>.科学技术（类）科学技术普及（款）其他科学技术普及支出（项）</w:t>
      </w:r>
      <w:r>
        <w:rPr>
          <w:rStyle w:val="16"/>
          <w:rFonts w:hint="eastAsia" w:ascii="仿宋_GB2312" w:hAnsi="仿宋_GB2312" w:cs="仿宋_GB2312"/>
          <w:b/>
          <w:bCs w:val="0"/>
          <w:color w:val="000000"/>
          <w:sz w:val="32"/>
          <w:szCs w:val="32"/>
          <w:lang w:eastAsia="zh-CN"/>
        </w:rPr>
        <w:t>：</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1</w:t>
      </w:r>
      <w:r>
        <w:rPr>
          <w:rStyle w:val="16"/>
          <w:rFonts w:hint="eastAsia" w:ascii="仿宋_GB2312" w:hAnsi="仿宋_GB2312" w:cs="仿宋_GB2312"/>
          <w:b w:val="0"/>
          <w:bCs/>
          <w:color w:val="000000"/>
          <w:sz w:val="32"/>
          <w:szCs w:val="32"/>
          <w:lang w:val="en-US" w:eastAsia="zh-CN"/>
        </w:rPr>
        <w:t>.40</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
          <w:bCs w:val="0"/>
          <w:color w:val="000000"/>
          <w:sz w:val="32"/>
          <w:szCs w:val="32"/>
          <w:lang w:val="en-US" w:eastAsia="zh-CN"/>
        </w:rPr>
        <w:t>2</w:t>
      </w:r>
      <w:r>
        <w:rPr>
          <w:rStyle w:val="16"/>
          <w:rFonts w:hint="eastAsia" w:ascii="仿宋_GB2312" w:hAnsi="仿宋_GB2312" w:eastAsia="仿宋_GB2312" w:cs="仿宋_GB2312"/>
          <w:b/>
          <w:bCs w:val="0"/>
          <w:color w:val="000000"/>
          <w:sz w:val="32"/>
          <w:szCs w:val="32"/>
        </w:rPr>
        <w:t>.文化旅游体育与传媒（类）文物（款）文物保护（项）</w:t>
      </w:r>
      <w:r>
        <w:rPr>
          <w:rStyle w:val="16"/>
          <w:rFonts w:hint="eastAsia" w:ascii="仿宋_GB2312" w:hAnsi="仿宋_GB2312" w:cs="仿宋_GB2312"/>
          <w:b/>
          <w:bCs w:val="0"/>
          <w:color w:val="000000"/>
          <w:sz w:val="32"/>
          <w:szCs w:val="32"/>
          <w:lang w:eastAsia="zh-CN"/>
        </w:rPr>
        <w:t>：</w:t>
      </w:r>
      <w:r>
        <w:rPr>
          <w:rStyle w:val="16"/>
          <w:rFonts w:hint="eastAsia" w:ascii="仿宋_GB2312" w:hAnsi="仿宋_GB2312" w:eastAsia="仿宋_GB2312" w:cs="仿宋_GB2312"/>
          <w:b/>
          <w:bCs w:val="0"/>
          <w:color w:val="000000"/>
          <w:sz w:val="32"/>
          <w:szCs w:val="32"/>
        </w:rPr>
        <w:t xml:space="preserve"> </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cs="仿宋_GB2312"/>
          <w:b w:val="0"/>
          <w:bCs/>
          <w:color w:val="000000"/>
          <w:sz w:val="32"/>
          <w:szCs w:val="32"/>
          <w:lang w:val="en-US" w:eastAsia="zh-CN"/>
        </w:rPr>
        <w:t>191.37</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
          <w:bCs w:val="0"/>
          <w:color w:val="000000"/>
          <w:sz w:val="32"/>
          <w:szCs w:val="32"/>
          <w:lang w:val="en-US" w:eastAsia="zh-CN"/>
        </w:rPr>
        <w:t>3</w:t>
      </w:r>
      <w:r>
        <w:rPr>
          <w:rStyle w:val="16"/>
          <w:rFonts w:hint="eastAsia" w:ascii="仿宋_GB2312" w:hAnsi="仿宋_GB2312" w:eastAsia="仿宋_GB2312" w:cs="仿宋_GB2312"/>
          <w:b/>
          <w:bCs w:val="0"/>
          <w:color w:val="000000"/>
          <w:sz w:val="32"/>
          <w:szCs w:val="32"/>
        </w:rPr>
        <w:t>.文化旅游体育与传媒（类）文物（款）</w:t>
      </w:r>
      <w:r>
        <w:rPr>
          <w:rStyle w:val="16"/>
          <w:rFonts w:hint="eastAsia" w:ascii="仿宋_GB2312" w:hAnsi="仿宋_GB2312" w:eastAsia="仿宋_GB2312" w:cs="仿宋_GB2312"/>
          <w:b/>
          <w:bCs w:val="0"/>
          <w:color w:val="000000"/>
          <w:sz w:val="32"/>
          <w:szCs w:val="32"/>
          <w:lang w:val="en-US" w:eastAsia="zh-CN"/>
        </w:rPr>
        <w:t>博物馆</w:t>
      </w:r>
      <w:r>
        <w:rPr>
          <w:rStyle w:val="16"/>
          <w:rFonts w:hint="eastAsia" w:ascii="仿宋_GB2312" w:hAnsi="仿宋_GB2312" w:eastAsia="仿宋_GB2312" w:cs="仿宋_GB2312"/>
          <w:b/>
          <w:bCs w:val="0"/>
          <w:color w:val="000000"/>
          <w:sz w:val="32"/>
          <w:szCs w:val="32"/>
        </w:rPr>
        <w:t>（项）</w:t>
      </w:r>
      <w:r>
        <w:rPr>
          <w:rStyle w:val="16"/>
          <w:rFonts w:hint="eastAsia" w:ascii="仿宋_GB2312" w:hAnsi="仿宋_GB2312" w:cs="仿宋_GB2312"/>
          <w:b/>
          <w:bCs w:val="0"/>
          <w:color w:val="000000"/>
          <w:sz w:val="32"/>
          <w:szCs w:val="32"/>
          <w:lang w:eastAsia="zh-CN"/>
        </w:rPr>
        <w:t>：</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cs="仿宋_GB2312"/>
          <w:b w:val="0"/>
          <w:bCs/>
          <w:color w:val="000000"/>
          <w:sz w:val="32"/>
          <w:szCs w:val="32"/>
          <w:lang w:val="en-US" w:eastAsia="zh-CN"/>
        </w:rPr>
        <w:t>3281.49</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
          <w:bCs w:val="0"/>
          <w:color w:val="000000"/>
          <w:sz w:val="32"/>
          <w:szCs w:val="32"/>
          <w:lang w:val="en-US" w:eastAsia="zh-CN"/>
        </w:rPr>
        <w:t>4</w:t>
      </w:r>
      <w:r>
        <w:rPr>
          <w:rStyle w:val="16"/>
          <w:rFonts w:hint="eastAsia" w:ascii="仿宋_GB2312" w:hAnsi="仿宋_GB2312" w:eastAsia="仿宋_GB2312" w:cs="仿宋_GB2312"/>
          <w:b/>
          <w:bCs w:val="0"/>
          <w:color w:val="000000"/>
          <w:sz w:val="32"/>
          <w:szCs w:val="32"/>
        </w:rPr>
        <w:t>.文化旅游体育与传媒（类）文物（款）历史名城与古迹（项）</w:t>
      </w:r>
      <w:r>
        <w:rPr>
          <w:rStyle w:val="16"/>
          <w:rFonts w:hint="eastAsia" w:ascii="仿宋_GB2312" w:hAnsi="仿宋_GB2312" w:cs="仿宋_GB2312"/>
          <w:b/>
          <w:bCs w:val="0"/>
          <w:color w:val="000000"/>
          <w:sz w:val="32"/>
          <w:szCs w:val="32"/>
          <w:lang w:eastAsia="zh-CN"/>
        </w:rPr>
        <w:t>：</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cs="仿宋_GB2312"/>
          <w:b w:val="0"/>
          <w:bCs/>
          <w:color w:val="000000"/>
          <w:sz w:val="32"/>
          <w:szCs w:val="32"/>
          <w:lang w:val="en-US" w:eastAsia="zh-CN"/>
        </w:rPr>
        <w:t>20.32</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Style w:val="16"/>
          <w:rFonts w:hint="eastAsia" w:ascii="仿宋_GB2312" w:hAnsi="仿宋_GB2312" w:eastAsia="仿宋_GB2312" w:cs="仿宋_GB2312"/>
          <w:b w:val="0"/>
          <w:bCs/>
          <w:color w:val="000000"/>
          <w:sz w:val="32"/>
          <w:szCs w:val="32"/>
          <w:lang w:val="en-US" w:eastAsia="zh-CN"/>
        </w:rPr>
      </w:pPr>
      <w:r>
        <w:rPr>
          <w:rStyle w:val="16"/>
          <w:rFonts w:hint="eastAsia" w:ascii="仿宋_GB2312" w:hAnsi="仿宋_GB2312" w:eastAsia="仿宋_GB2312" w:cs="仿宋_GB2312"/>
          <w:b/>
          <w:bCs w:val="0"/>
          <w:color w:val="000000"/>
          <w:sz w:val="32"/>
          <w:szCs w:val="32"/>
          <w:lang w:val="en-US" w:eastAsia="zh-CN"/>
        </w:rPr>
        <w:t>5</w:t>
      </w:r>
      <w:r>
        <w:rPr>
          <w:rStyle w:val="16"/>
          <w:rFonts w:hint="eastAsia" w:ascii="仿宋_GB2312" w:hAnsi="仿宋_GB2312" w:eastAsia="仿宋_GB2312" w:cs="仿宋_GB2312"/>
          <w:b/>
          <w:bCs w:val="0"/>
          <w:color w:val="000000"/>
          <w:sz w:val="32"/>
          <w:szCs w:val="32"/>
        </w:rPr>
        <w:t>.文化旅游体育与传媒（类）其他文化旅游体育与传媒支出（款）文化</w:t>
      </w:r>
      <w:r>
        <w:rPr>
          <w:rStyle w:val="16"/>
          <w:rFonts w:hint="eastAsia" w:ascii="仿宋_GB2312" w:hAnsi="仿宋_GB2312" w:cs="仿宋_GB2312"/>
          <w:b/>
          <w:bCs w:val="0"/>
          <w:color w:val="000000"/>
          <w:sz w:val="32"/>
          <w:szCs w:val="32"/>
          <w:lang w:eastAsia="zh-CN"/>
        </w:rPr>
        <w:t>产业发展专项支出</w:t>
      </w:r>
      <w:r>
        <w:rPr>
          <w:rStyle w:val="16"/>
          <w:rFonts w:hint="eastAsia" w:ascii="仿宋_GB2312" w:hAnsi="仿宋_GB2312" w:eastAsia="仿宋_GB2312" w:cs="仿宋_GB2312"/>
          <w:b/>
          <w:bCs w:val="0"/>
          <w:color w:val="000000"/>
          <w:sz w:val="32"/>
          <w:szCs w:val="32"/>
        </w:rPr>
        <w:t>（项）</w:t>
      </w:r>
      <w:r>
        <w:rPr>
          <w:rStyle w:val="16"/>
          <w:rFonts w:hint="eastAsia" w:ascii="仿宋_GB2312" w:hAnsi="仿宋_GB2312" w:cs="仿宋_GB2312"/>
          <w:b/>
          <w:bCs w:val="0"/>
          <w:color w:val="000000"/>
          <w:sz w:val="32"/>
          <w:szCs w:val="32"/>
          <w:lang w:eastAsia="zh-CN"/>
        </w:rPr>
        <w:t>：</w:t>
      </w:r>
      <w:r>
        <w:rPr>
          <w:rStyle w:val="16"/>
          <w:rFonts w:hint="eastAsia" w:ascii="仿宋_GB2312" w:hAnsi="仿宋_GB2312" w:eastAsia="仿宋_GB2312" w:cs="仿宋_GB2312"/>
          <w:b/>
          <w:bCs w:val="0"/>
          <w:color w:val="000000"/>
          <w:sz w:val="32"/>
          <w:szCs w:val="32"/>
        </w:rPr>
        <w:t xml:space="preserve"> </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cs="仿宋_GB2312"/>
          <w:b w:val="0"/>
          <w:bCs/>
          <w:color w:val="000000"/>
          <w:sz w:val="32"/>
          <w:szCs w:val="32"/>
          <w:lang w:val="en-US" w:eastAsia="zh-CN"/>
        </w:rPr>
        <w:t>400.00</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sz w:val="32"/>
          <w:szCs w:val="32"/>
        </w:rPr>
      </w:pPr>
      <w:r>
        <w:rPr>
          <w:rStyle w:val="16"/>
          <w:rFonts w:hint="eastAsia" w:ascii="仿宋_GB2312" w:hAnsi="仿宋_GB2312" w:cs="仿宋_GB2312"/>
          <w:b/>
          <w:bCs w:val="0"/>
          <w:color w:val="000000"/>
          <w:sz w:val="32"/>
          <w:szCs w:val="32"/>
          <w:lang w:val="en-US" w:eastAsia="zh-CN"/>
        </w:rPr>
        <w:t>6</w:t>
      </w:r>
      <w:r>
        <w:rPr>
          <w:rStyle w:val="16"/>
          <w:rFonts w:hint="eastAsia" w:ascii="仿宋_GB2312" w:hAnsi="仿宋_GB2312" w:eastAsia="仿宋_GB2312" w:cs="仿宋_GB2312"/>
          <w:b/>
          <w:bCs w:val="0"/>
          <w:color w:val="000000"/>
          <w:sz w:val="32"/>
          <w:szCs w:val="32"/>
        </w:rPr>
        <w:t>.文化旅游体育与传媒（类）其他文化旅游体育与传媒支出（款）其他文化旅游体育与传媒支出（项）</w:t>
      </w:r>
      <w:r>
        <w:rPr>
          <w:rStyle w:val="16"/>
          <w:rFonts w:hint="eastAsia" w:ascii="仿宋_GB2312" w:hAnsi="仿宋_GB2312" w:cs="仿宋_GB2312"/>
          <w:b/>
          <w:bCs w:val="0"/>
          <w:color w:val="000000"/>
          <w:sz w:val="32"/>
          <w:szCs w:val="32"/>
          <w:lang w:eastAsia="zh-CN"/>
        </w:rPr>
        <w:t>：</w:t>
      </w:r>
      <w:r>
        <w:rPr>
          <w:rStyle w:val="16"/>
          <w:rFonts w:hint="eastAsia" w:ascii="仿宋_GB2312" w:hAnsi="仿宋_GB2312" w:eastAsia="仿宋_GB2312" w:cs="仿宋_GB2312"/>
          <w:b/>
          <w:bCs w:val="0"/>
          <w:color w:val="000000"/>
          <w:sz w:val="32"/>
          <w:szCs w:val="32"/>
        </w:rPr>
        <w:t xml:space="preserve"> </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cs="仿宋_GB2312"/>
          <w:b w:val="0"/>
          <w:bCs/>
          <w:color w:val="000000"/>
          <w:sz w:val="32"/>
          <w:szCs w:val="32"/>
          <w:lang w:val="en-US" w:eastAsia="zh-CN"/>
        </w:rPr>
        <w:t>3.19</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cs="仿宋_GB2312"/>
          <w:b/>
          <w:bCs w:val="0"/>
          <w:color w:val="000000"/>
          <w:sz w:val="32"/>
          <w:szCs w:val="32"/>
          <w:lang w:val="en-US" w:eastAsia="zh-CN"/>
        </w:rPr>
        <w:t>7</w:t>
      </w:r>
      <w:r>
        <w:rPr>
          <w:rStyle w:val="16"/>
          <w:rFonts w:hint="eastAsia" w:ascii="仿宋_GB2312" w:hAnsi="仿宋_GB2312" w:eastAsia="仿宋_GB2312" w:cs="仿宋_GB2312"/>
          <w:b/>
          <w:bCs w:val="0"/>
          <w:color w:val="000000"/>
          <w:sz w:val="32"/>
          <w:szCs w:val="32"/>
        </w:rPr>
        <w:t>.社会保障和就业（类）行政事业单位养老支出（款）事业单位离退休（项）</w:t>
      </w:r>
      <w:r>
        <w:rPr>
          <w:rStyle w:val="16"/>
          <w:rFonts w:hint="eastAsia" w:ascii="仿宋_GB2312" w:hAnsi="仿宋_GB2312" w:cs="仿宋_GB2312"/>
          <w:b/>
          <w:bCs w:val="0"/>
          <w:color w:val="000000"/>
          <w:sz w:val="32"/>
          <w:szCs w:val="32"/>
          <w:lang w:eastAsia="zh-CN"/>
        </w:rPr>
        <w:t>：</w:t>
      </w:r>
      <w:r>
        <w:rPr>
          <w:rStyle w:val="16"/>
          <w:rFonts w:hint="eastAsia" w:ascii="仿宋_GB2312" w:hAnsi="仿宋_GB2312" w:eastAsia="仿宋_GB2312" w:cs="仿宋_GB2312"/>
          <w:b/>
          <w:bCs w:val="0"/>
          <w:color w:val="000000"/>
          <w:sz w:val="32"/>
          <w:szCs w:val="32"/>
        </w:rPr>
        <w:t xml:space="preserve"> </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cs="仿宋_GB2312"/>
          <w:b w:val="0"/>
          <w:bCs/>
          <w:color w:val="000000"/>
          <w:sz w:val="32"/>
          <w:szCs w:val="32"/>
          <w:lang w:val="en-US" w:eastAsia="zh-CN"/>
        </w:rPr>
        <w:t>115.47</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cs="仿宋_GB2312"/>
          <w:b/>
          <w:bCs w:val="0"/>
          <w:color w:val="000000"/>
          <w:sz w:val="32"/>
          <w:szCs w:val="32"/>
          <w:lang w:val="en-US" w:eastAsia="zh-CN"/>
        </w:rPr>
        <w:t>8</w:t>
      </w:r>
      <w:r>
        <w:rPr>
          <w:rStyle w:val="16"/>
          <w:rFonts w:hint="eastAsia" w:ascii="仿宋_GB2312" w:hAnsi="仿宋_GB2312" w:eastAsia="仿宋_GB2312" w:cs="仿宋_GB2312"/>
          <w:b/>
          <w:bCs w:val="0"/>
          <w:color w:val="000000"/>
          <w:sz w:val="32"/>
          <w:szCs w:val="32"/>
        </w:rPr>
        <w:t>.社会保障和就业（类）行政事业单位养老支出（款）机关事业单位基本养老保险缴费支出（项）</w:t>
      </w:r>
      <w:r>
        <w:rPr>
          <w:rStyle w:val="16"/>
          <w:rFonts w:hint="eastAsia" w:ascii="仿宋_GB2312" w:hAnsi="仿宋_GB2312" w:cs="仿宋_GB2312"/>
          <w:b/>
          <w:bCs w:val="0"/>
          <w:color w:val="000000"/>
          <w:sz w:val="32"/>
          <w:szCs w:val="32"/>
          <w:lang w:eastAsia="zh-CN"/>
        </w:rPr>
        <w:t>：</w:t>
      </w:r>
      <w:r>
        <w:rPr>
          <w:rStyle w:val="16"/>
          <w:rFonts w:hint="eastAsia" w:ascii="仿宋_GB2312" w:hAnsi="仿宋_GB2312" w:eastAsia="仿宋_GB2312" w:cs="仿宋_GB2312"/>
          <w:b/>
          <w:bCs w:val="0"/>
          <w:color w:val="000000"/>
          <w:sz w:val="32"/>
          <w:szCs w:val="32"/>
        </w:rPr>
        <w:t xml:space="preserve"> </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cs="仿宋_GB2312"/>
          <w:b w:val="0"/>
          <w:bCs/>
          <w:color w:val="000000"/>
          <w:sz w:val="32"/>
          <w:szCs w:val="32"/>
          <w:lang w:val="en-US" w:eastAsia="zh-CN"/>
        </w:rPr>
        <w:t>67.68</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cs="仿宋_GB2312"/>
          <w:b/>
          <w:bCs w:val="0"/>
          <w:color w:val="000000"/>
          <w:sz w:val="32"/>
          <w:szCs w:val="32"/>
          <w:lang w:val="en-US" w:eastAsia="zh-CN"/>
        </w:rPr>
        <w:t>9</w:t>
      </w:r>
      <w:r>
        <w:rPr>
          <w:rStyle w:val="16"/>
          <w:rFonts w:hint="eastAsia" w:ascii="仿宋_GB2312" w:hAnsi="仿宋_GB2312" w:eastAsia="仿宋_GB2312" w:cs="仿宋_GB2312"/>
          <w:b/>
          <w:bCs w:val="0"/>
          <w:color w:val="000000"/>
          <w:sz w:val="32"/>
          <w:szCs w:val="32"/>
        </w:rPr>
        <w:t>.社会保障和就业（类）行政事业单位养老支出（款）机关事业单位职业年金缴费支出（项）</w:t>
      </w:r>
      <w:r>
        <w:rPr>
          <w:rStyle w:val="16"/>
          <w:rFonts w:hint="eastAsia" w:ascii="仿宋_GB2312" w:hAnsi="仿宋_GB2312" w:cs="仿宋_GB2312"/>
          <w:b/>
          <w:bCs w:val="0"/>
          <w:color w:val="000000"/>
          <w:sz w:val="32"/>
          <w:szCs w:val="32"/>
          <w:lang w:eastAsia="zh-CN"/>
        </w:rPr>
        <w:t>：</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cs="仿宋_GB2312"/>
          <w:b w:val="0"/>
          <w:bCs/>
          <w:color w:val="000000"/>
          <w:sz w:val="32"/>
          <w:szCs w:val="32"/>
          <w:lang w:val="en-US" w:eastAsia="zh-CN"/>
        </w:rPr>
        <w:t>33</w:t>
      </w:r>
      <w:r>
        <w:rPr>
          <w:rStyle w:val="16"/>
          <w:rFonts w:hint="eastAsia" w:ascii="仿宋_GB2312" w:hAnsi="仿宋_GB2312" w:eastAsia="仿宋_GB2312" w:cs="仿宋_GB2312"/>
          <w:b w:val="0"/>
          <w:bCs/>
          <w:color w:val="000000"/>
          <w:sz w:val="32"/>
          <w:szCs w:val="32"/>
        </w:rPr>
        <w:t>.98万元，完成预算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
          <w:bCs w:val="0"/>
          <w:color w:val="000000"/>
          <w:sz w:val="32"/>
          <w:szCs w:val="32"/>
          <w:lang w:val="en-US" w:eastAsia="zh-CN"/>
        </w:rPr>
        <w:t>10</w:t>
      </w:r>
      <w:r>
        <w:rPr>
          <w:rStyle w:val="16"/>
          <w:rFonts w:hint="eastAsia" w:ascii="仿宋_GB2312" w:hAnsi="仿宋_GB2312" w:eastAsia="仿宋_GB2312" w:cs="仿宋_GB2312"/>
          <w:b/>
          <w:bCs w:val="0"/>
          <w:color w:val="000000"/>
          <w:sz w:val="32"/>
          <w:szCs w:val="32"/>
        </w:rPr>
        <w:t>.</w:t>
      </w:r>
      <w:r>
        <w:rPr>
          <w:rFonts w:hint="eastAsia" w:ascii="仿宋_GB2312" w:hAnsi="仿宋_GB2312" w:eastAsia="仿宋_GB2312" w:cs="仿宋_GB2312"/>
          <w:b/>
          <w:bCs w:val="0"/>
          <w:color w:val="000000"/>
          <w:sz w:val="32"/>
          <w:szCs w:val="32"/>
        </w:rPr>
        <w:t>卫生健康</w:t>
      </w:r>
      <w:r>
        <w:rPr>
          <w:rStyle w:val="16"/>
          <w:rFonts w:hint="eastAsia" w:ascii="仿宋_GB2312" w:hAnsi="仿宋_GB2312" w:eastAsia="仿宋_GB2312" w:cs="仿宋_GB2312"/>
          <w:b/>
          <w:bCs w:val="0"/>
          <w:color w:val="000000"/>
          <w:sz w:val="32"/>
          <w:szCs w:val="32"/>
        </w:rPr>
        <w:t>（类）行政事业单位医疗（款）事业单位医疗（项）</w:t>
      </w:r>
      <w:r>
        <w:rPr>
          <w:rStyle w:val="16"/>
          <w:rFonts w:hint="eastAsia" w:ascii="仿宋_GB2312" w:hAnsi="仿宋_GB2312" w:cs="仿宋_GB2312"/>
          <w:b/>
          <w:bCs w:val="0"/>
          <w:color w:val="000000"/>
          <w:sz w:val="32"/>
          <w:szCs w:val="32"/>
          <w:lang w:eastAsia="zh-CN"/>
        </w:rPr>
        <w:t>：</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cs="仿宋_GB2312"/>
          <w:b w:val="0"/>
          <w:bCs/>
          <w:color w:val="000000"/>
          <w:sz w:val="32"/>
          <w:szCs w:val="32"/>
          <w:lang w:val="en-US" w:eastAsia="zh-CN"/>
        </w:rPr>
        <w:t>30.50</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val="0"/>
          <w:bCs/>
          <w:sz w:val="32"/>
          <w:szCs w:val="32"/>
        </w:rPr>
      </w:pPr>
      <w:r>
        <w:rPr>
          <w:rStyle w:val="16"/>
          <w:rFonts w:hint="eastAsia" w:ascii="仿宋_GB2312" w:hAnsi="仿宋_GB2312" w:eastAsia="仿宋_GB2312" w:cs="仿宋_GB2312"/>
          <w:b/>
          <w:bCs w:val="0"/>
          <w:color w:val="000000"/>
          <w:sz w:val="32"/>
          <w:szCs w:val="32"/>
          <w:lang w:val="en-US" w:eastAsia="zh-CN"/>
        </w:rPr>
        <w:t>11</w:t>
      </w:r>
      <w:r>
        <w:rPr>
          <w:rStyle w:val="16"/>
          <w:rFonts w:hint="eastAsia" w:ascii="仿宋_GB2312" w:hAnsi="仿宋_GB2312" w:eastAsia="仿宋_GB2312" w:cs="仿宋_GB2312"/>
          <w:b/>
          <w:bCs w:val="0"/>
          <w:color w:val="000000"/>
          <w:sz w:val="32"/>
          <w:szCs w:val="32"/>
        </w:rPr>
        <w:t>.</w:t>
      </w:r>
      <w:r>
        <w:rPr>
          <w:rFonts w:hint="eastAsia" w:ascii="仿宋_GB2312" w:hAnsi="仿宋_GB2312" w:eastAsia="仿宋_GB2312" w:cs="仿宋_GB2312"/>
          <w:b/>
          <w:bCs w:val="0"/>
          <w:color w:val="000000"/>
          <w:sz w:val="32"/>
          <w:szCs w:val="32"/>
        </w:rPr>
        <w:t>住房保障支出</w:t>
      </w:r>
      <w:r>
        <w:rPr>
          <w:rStyle w:val="16"/>
          <w:rFonts w:hint="eastAsia" w:ascii="仿宋_GB2312" w:hAnsi="仿宋_GB2312" w:eastAsia="仿宋_GB2312" w:cs="仿宋_GB2312"/>
          <w:b/>
          <w:bCs w:val="0"/>
          <w:color w:val="000000"/>
          <w:sz w:val="32"/>
          <w:szCs w:val="32"/>
        </w:rPr>
        <w:t>（类）住房改革支出（款）住房公积金（项）</w:t>
      </w:r>
      <w:r>
        <w:rPr>
          <w:rStyle w:val="16"/>
          <w:rFonts w:hint="eastAsia" w:ascii="仿宋_GB2312" w:hAnsi="仿宋_GB2312" w:eastAsia="仿宋_GB2312" w:cs="仿宋_GB2312"/>
          <w:b/>
          <w:bCs w:val="0"/>
          <w:color w:val="000000"/>
          <w:sz w:val="32"/>
          <w:szCs w:val="32"/>
          <w:lang w:eastAsia="zh-CN"/>
        </w:rPr>
        <w:t>：</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43.57</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19"/>
        </w:rPr>
      </w:pPr>
      <w:bookmarkStart w:id="34" w:name="_Toc693483090"/>
      <w:bookmarkStart w:id="35" w:name="_Toc15377214"/>
      <w:bookmarkStart w:id="36" w:name="_Toc30529"/>
      <w:bookmarkStart w:id="3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9"/>
          <w:rFonts w:hint="eastAsia" w:ascii="黑体" w:hAnsi="黑体" w:eastAsia="黑体"/>
          <w:b w:val="0"/>
        </w:rPr>
        <w:t>般公共预算财政拨款基本支出决算情况说明</w:t>
      </w:r>
      <w:bookmarkEnd w:id="34"/>
      <w:bookmarkEnd w:id="35"/>
      <w:bookmarkEnd w:id="36"/>
      <w:bookmarkEnd w:id="37"/>
      <w:r>
        <w:rPr>
          <w:rStyle w:val="19"/>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cs="仿宋_GB2312"/>
          <w:color w:val="auto"/>
          <w:sz w:val="32"/>
          <w:szCs w:val="32"/>
          <w:highlight w:val="none"/>
          <w:lang w:val="en-US" w:eastAsia="zh-CN"/>
        </w:rPr>
        <w:t>2108.01</w:t>
      </w:r>
      <w:r>
        <w:rPr>
          <w:rFonts w:hint="eastAsia" w:ascii="仿宋_GB2312" w:hAnsi="仿宋_GB2312" w:eastAsia="仿宋_GB2312" w:cs="仿宋_GB2312"/>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Style w:val="16"/>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color w:val="auto"/>
          <w:sz w:val="32"/>
          <w:szCs w:val="32"/>
          <w:highlight w:val="none"/>
        </w:rPr>
        <w:t>人员经费</w:t>
      </w:r>
      <w:r>
        <w:rPr>
          <w:rFonts w:hint="eastAsia" w:ascii="仿宋_GB2312" w:hAnsi="仿宋_GB2312" w:cs="仿宋_GB2312"/>
          <w:color w:val="auto"/>
          <w:sz w:val="32"/>
          <w:szCs w:val="32"/>
          <w:highlight w:val="none"/>
          <w:lang w:val="en-US" w:eastAsia="zh-CN"/>
        </w:rPr>
        <w:t>1478.44</w:t>
      </w:r>
      <w:r>
        <w:rPr>
          <w:rFonts w:hint="eastAsia" w:ascii="仿宋_GB2312" w:hAnsi="仿宋_GB2312" w:eastAsia="仿宋_GB2312" w:cs="仿宋_GB2312"/>
          <w:color w:val="auto"/>
          <w:sz w:val="32"/>
          <w:szCs w:val="32"/>
          <w:highlight w:val="none"/>
        </w:rPr>
        <w:t>万元，主要包括：基本工资、津贴补贴、绩效工资、机关事业单位基本养老保险缴费、职业年金缴费、 职工基本医疗保险缴费</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其他社会保障缴费</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住房公积金、其他工资福利支出、对个人和家庭的补助</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退休费、其他对个人和家庭的补助等。</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公用经费</w:t>
      </w:r>
      <w:r>
        <w:rPr>
          <w:rFonts w:hint="eastAsia" w:ascii="仿宋_GB2312" w:hAnsi="仿宋_GB2312" w:cs="仿宋_GB2312"/>
          <w:color w:val="auto"/>
          <w:sz w:val="32"/>
          <w:szCs w:val="32"/>
          <w:highlight w:val="none"/>
          <w:lang w:val="en-US" w:eastAsia="zh-CN"/>
        </w:rPr>
        <w:t>629.57</w:t>
      </w:r>
      <w:r>
        <w:rPr>
          <w:rFonts w:hint="eastAsia" w:ascii="仿宋_GB2312" w:hAnsi="仿宋_GB2312" w:eastAsia="仿宋_GB2312" w:cs="仿宋_GB2312"/>
          <w:color w:val="auto"/>
          <w:sz w:val="32"/>
          <w:szCs w:val="32"/>
          <w:highlight w:val="none"/>
        </w:rPr>
        <w:t>万元，主要包括：办公费、印刷费、手续费、水费、电费、邮电费、物业管理费、差旅费、维修（护）费、培训费、公务接待费、</w:t>
      </w:r>
      <w:r>
        <w:rPr>
          <w:rStyle w:val="16"/>
          <w:rFonts w:hint="eastAsia" w:ascii="仿宋_GB2312" w:hAnsi="仿宋_GB2312" w:eastAsia="仿宋_GB2312" w:cs="仿宋_GB2312"/>
          <w:b w:val="0"/>
          <w:bCs/>
          <w:color w:val="000000"/>
          <w:kern w:val="2"/>
          <w:sz w:val="32"/>
          <w:szCs w:val="32"/>
          <w:lang w:val="en-US" w:eastAsia="zh-CN" w:bidi="ar-SA"/>
        </w:rPr>
        <w:t>专用材料费</w:t>
      </w:r>
      <w:r>
        <w:rPr>
          <w:rStyle w:val="16"/>
          <w:rFonts w:hint="eastAsia" w:ascii="仿宋_GB2312" w:hAnsi="仿宋_GB2312" w:cs="仿宋_GB2312"/>
          <w:b w:val="0"/>
          <w:bCs/>
          <w:color w:val="000000"/>
          <w:kern w:val="2"/>
          <w:sz w:val="32"/>
          <w:szCs w:val="32"/>
          <w:lang w:val="en-US" w:eastAsia="zh-CN" w:bidi="ar-SA"/>
        </w:rPr>
        <w:t>、</w:t>
      </w:r>
      <w:r>
        <w:rPr>
          <w:rStyle w:val="16"/>
          <w:rFonts w:hint="eastAsia" w:ascii="仿宋_GB2312" w:hAnsi="仿宋_GB2312" w:eastAsia="仿宋_GB2312" w:cs="仿宋_GB2312"/>
          <w:b w:val="0"/>
          <w:bCs/>
          <w:color w:val="000000"/>
          <w:kern w:val="2"/>
          <w:sz w:val="32"/>
          <w:szCs w:val="32"/>
          <w:lang w:val="en-US" w:eastAsia="zh-CN" w:bidi="ar-SA"/>
        </w:rPr>
        <w:t>劳务费</w:t>
      </w:r>
      <w:r>
        <w:rPr>
          <w:rStyle w:val="16"/>
          <w:rFonts w:hint="eastAsia" w:ascii="仿宋_GB2312" w:hAnsi="仿宋_GB2312" w:cs="仿宋_GB2312"/>
          <w:b w:val="0"/>
          <w:bCs/>
          <w:color w:val="000000"/>
          <w:kern w:val="2"/>
          <w:sz w:val="32"/>
          <w:szCs w:val="32"/>
          <w:lang w:val="en-US" w:eastAsia="zh-CN" w:bidi="ar-SA"/>
        </w:rPr>
        <w:t>、</w:t>
      </w:r>
      <w:r>
        <w:rPr>
          <w:rStyle w:val="16"/>
          <w:rFonts w:hint="eastAsia" w:ascii="仿宋_GB2312" w:hAnsi="仿宋_GB2312" w:eastAsia="仿宋_GB2312" w:cs="仿宋_GB2312"/>
          <w:b w:val="0"/>
          <w:bCs/>
          <w:color w:val="000000"/>
          <w:kern w:val="2"/>
          <w:sz w:val="32"/>
          <w:szCs w:val="32"/>
          <w:lang w:val="en-US" w:eastAsia="zh-CN" w:bidi="ar-SA"/>
        </w:rPr>
        <w:t>委托业务费</w:t>
      </w:r>
      <w:r>
        <w:rPr>
          <w:rStyle w:val="16"/>
          <w:rFonts w:hint="eastAsia" w:ascii="仿宋_GB2312" w:hAnsi="仿宋_GB2312" w:cs="仿宋_GB2312"/>
          <w:b w:val="0"/>
          <w:bCs/>
          <w:color w:val="000000"/>
          <w:kern w:val="2"/>
          <w:sz w:val="32"/>
          <w:szCs w:val="32"/>
          <w:lang w:val="en-US" w:eastAsia="zh-CN" w:bidi="ar-SA"/>
        </w:rPr>
        <w:t>、</w:t>
      </w:r>
      <w:r>
        <w:rPr>
          <w:rStyle w:val="16"/>
          <w:rFonts w:hint="eastAsia" w:ascii="仿宋_GB2312" w:hAnsi="仿宋_GB2312" w:eastAsia="仿宋_GB2312" w:cs="仿宋_GB2312"/>
          <w:b w:val="0"/>
          <w:bCs/>
          <w:color w:val="000000"/>
          <w:kern w:val="2"/>
          <w:sz w:val="32"/>
          <w:szCs w:val="32"/>
          <w:lang w:val="en-US" w:eastAsia="zh-CN" w:bidi="ar-SA"/>
        </w:rPr>
        <w:t>工会经费</w:t>
      </w:r>
      <w:r>
        <w:rPr>
          <w:rStyle w:val="16"/>
          <w:rFonts w:hint="eastAsia" w:ascii="仿宋_GB2312" w:hAnsi="仿宋_GB2312" w:cs="仿宋_GB2312"/>
          <w:b w:val="0"/>
          <w:bCs/>
          <w:color w:val="000000"/>
          <w:kern w:val="2"/>
          <w:sz w:val="32"/>
          <w:szCs w:val="32"/>
          <w:lang w:val="en-US" w:eastAsia="zh-CN" w:bidi="ar-SA"/>
        </w:rPr>
        <w:t>、</w:t>
      </w:r>
      <w:r>
        <w:rPr>
          <w:rStyle w:val="16"/>
          <w:rFonts w:hint="eastAsia" w:ascii="仿宋_GB2312" w:hAnsi="仿宋_GB2312" w:eastAsia="仿宋_GB2312" w:cs="仿宋_GB2312"/>
          <w:b w:val="0"/>
          <w:bCs/>
          <w:color w:val="000000"/>
          <w:kern w:val="2"/>
          <w:sz w:val="32"/>
          <w:szCs w:val="32"/>
          <w:lang w:val="en-US" w:eastAsia="zh-CN" w:bidi="ar-SA"/>
        </w:rPr>
        <w:t>福利费</w:t>
      </w:r>
      <w:r>
        <w:rPr>
          <w:rStyle w:val="16"/>
          <w:rFonts w:hint="eastAsia" w:ascii="仿宋_GB2312" w:hAnsi="仿宋_GB2312" w:cs="仿宋_GB2312"/>
          <w:b w:val="0"/>
          <w:bCs/>
          <w:color w:val="000000"/>
          <w:kern w:val="2"/>
          <w:sz w:val="32"/>
          <w:szCs w:val="32"/>
          <w:lang w:val="en-US" w:eastAsia="zh-CN" w:bidi="ar-SA"/>
        </w:rPr>
        <w:t>、</w:t>
      </w:r>
      <w:r>
        <w:rPr>
          <w:rStyle w:val="16"/>
          <w:rFonts w:hint="eastAsia" w:ascii="仿宋_GB2312" w:hAnsi="仿宋_GB2312" w:eastAsia="仿宋_GB2312" w:cs="仿宋_GB2312"/>
          <w:b w:val="0"/>
          <w:bCs/>
          <w:color w:val="000000"/>
          <w:kern w:val="2"/>
          <w:sz w:val="32"/>
          <w:szCs w:val="32"/>
          <w:lang w:val="en-US" w:eastAsia="zh-CN" w:bidi="ar-SA"/>
        </w:rPr>
        <w:t>公务用车运行维护费</w:t>
      </w:r>
      <w:r>
        <w:rPr>
          <w:rStyle w:val="16"/>
          <w:rFonts w:hint="eastAsia" w:ascii="仿宋_GB2312" w:hAnsi="仿宋_GB2312" w:cs="仿宋_GB2312"/>
          <w:b w:val="0"/>
          <w:bCs/>
          <w:color w:val="000000"/>
          <w:kern w:val="2"/>
          <w:sz w:val="32"/>
          <w:szCs w:val="32"/>
          <w:lang w:val="en-US" w:eastAsia="zh-CN" w:bidi="ar-SA"/>
        </w:rPr>
        <w:t>、</w:t>
      </w:r>
      <w:r>
        <w:rPr>
          <w:rStyle w:val="16"/>
          <w:rFonts w:hint="eastAsia" w:ascii="仿宋_GB2312" w:hAnsi="仿宋_GB2312" w:eastAsia="仿宋_GB2312" w:cs="仿宋_GB2312"/>
          <w:b w:val="0"/>
          <w:bCs/>
          <w:color w:val="000000"/>
          <w:kern w:val="2"/>
          <w:sz w:val="32"/>
          <w:szCs w:val="32"/>
          <w:lang w:val="en-US" w:eastAsia="zh-CN" w:bidi="ar-SA"/>
        </w:rPr>
        <w:t>其他交通费用</w:t>
      </w:r>
      <w:r>
        <w:rPr>
          <w:rStyle w:val="16"/>
          <w:rFonts w:hint="eastAsia" w:ascii="仿宋_GB2312" w:hAnsi="仿宋_GB2312" w:cs="仿宋_GB2312"/>
          <w:b w:val="0"/>
          <w:bCs/>
          <w:color w:val="000000"/>
          <w:kern w:val="2"/>
          <w:sz w:val="32"/>
          <w:szCs w:val="32"/>
          <w:lang w:val="en-US" w:eastAsia="zh-CN" w:bidi="ar-SA"/>
        </w:rPr>
        <w:t>、</w:t>
      </w:r>
      <w:r>
        <w:rPr>
          <w:rStyle w:val="16"/>
          <w:rFonts w:hint="eastAsia" w:ascii="仿宋_GB2312" w:hAnsi="仿宋_GB2312" w:eastAsia="仿宋_GB2312" w:cs="仿宋_GB2312"/>
          <w:b w:val="0"/>
          <w:bCs/>
          <w:color w:val="000000"/>
          <w:kern w:val="2"/>
          <w:sz w:val="32"/>
          <w:szCs w:val="32"/>
          <w:lang w:val="en-US" w:eastAsia="zh-CN" w:bidi="ar-SA"/>
        </w:rPr>
        <w:t>其他商品和服务支出</w:t>
      </w:r>
      <w:r>
        <w:rPr>
          <w:rStyle w:val="16"/>
          <w:rFonts w:hint="eastAsia" w:ascii="仿宋_GB2312" w:hAnsi="仿宋_GB2312" w:cs="仿宋_GB2312"/>
          <w:b w:val="0"/>
          <w:bCs/>
          <w:color w:val="000000"/>
          <w:kern w:val="2"/>
          <w:sz w:val="32"/>
          <w:szCs w:val="32"/>
          <w:lang w:val="en-US" w:eastAsia="zh-CN" w:bidi="ar-SA"/>
        </w:rPr>
        <w:t>、办公设备购置、专用设备购置、文物和陈列品购置、其他资本性支出</w:t>
      </w:r>
      <w:r>
        <w:rPr>
          <w:rStyle w:val="16"/>
          <w:rFonts w:hint="eastAsia" w:ascii="仿宋_GB2312" w:hAnsi="仿宋_GB2312" w:eastAsia="仿宋_GB2312" w:cs="仿宋_GB2312"/>
          <w:b w:val="0"/>
          <w:bCs/>
          <w:color w:val="000000"/>
          <w:kern w:val="2"/>
          <w:sz w:val="32"/>
          <w:szCs w:val="32"/>
          <w:lang w:val="en-US" w:eastAsia="zh-CN" w:bidi="ar-SA"/>
        </w:rPr>
        <w:t>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19"/>
          <w:rFonts w:ascii="黑体" w:hAnsi="黑体" w:eastAsia="黑体"/>
          <w:b w:val="0"/>
        </w:rPr>
      </w:pPr>
      <w:bookmarkStart w:id="38" w:name="_Toc2084050475"/>
      <w:bookmarkStart w:id="39" w:name="_Toc15377215"/>
      <w:bookmarkStart w:id="40" w:name="_Toc15396609"/>
      <w:bookmarkStart w:id="41" w:name="_Toc98"/>
      <w:r>
        <w:rPr>
          <w:rFonts w:hint="eastAsia" w:ascii="黑体" w:eastAsia="黑体"/>
          <w:color w:val="000000"/>
          <w:sz w:val="32"/>
          <w:szCs w:val="32"/>
        </w:rPr>
        <w:t>七、</w:t>
      </w:r>
      <w:r>
        <w:rPr>
          <w:rStyle w:val="19"/>
          <w:rFonts w:hint="eastAsia" w:ascii="黑体" w:hAnsi="黑体" w:eastAsia="黑体"/>
        </w:rPr>
        <w:t>“</w:t>
      </w:r>
      <w:r>
        <w:rPr>
          <w:rStyle w:val="19"/>
          <w:rFonts w:hint="eastAsia" w:ascii="黑体" w:hAnsi="黑体" w:eastAsia="黑体"/>
          <w:b w:val="0"/>
        </w:rPr>
        <w:t>三公”经费财政拨款支出决算情况说明</w:t>
      </w:r>
      <w:bookmarkEnd w:id="38"/>
      <w:bookmarkEnd w:id="39"/>
      <w:bookmarkEnd w:id="40"/>
      <w:bookmarkEnd w:id="41"/>
    </w:p>
    <w:p>
      <w:pPr>
        <w:spacing w:line="600" w:lineRule="exact"/>
        <w:ind w:firstLine="640"/>
        <w:outlineLvl w:val="2"/>
        <w:rPr>
          <w:rFonts w:hint="eastAsia" w:ascii="仿宋_GB2312" w:hAnsi="仿宋_GB2312" w:eastAsia="仿宋_GB2312" w:cs="仿宋_GB2312"/>
          <w:b/>
          <w:color w:val="000000"/>
          <w:sz w:val="32"/>
          <w:szCs w:val="32"/>
        </w:rPr>
      </w:pPr>
      <w:bookmarkStart w:id="42" w:name="_Toc15377216"/>
      <w:r>
        <w:rPr>
          <w:rFonts w:hint="eastAsia" w:ascii="仿宋_GB2312" w:hAnsi="仿宋_GB2312" w:eastAsia="仿宋_GB2312" w:cs="仿宋_GB2312"/>
          <w:b/>
          <w:color w:val="000000"/>
          <w:sz w:val="32"/>
          <w:szCs w:val="32"/>
        </w:rPr>
        <w:t>（一）“三公”经费财政拨款支出决算总体情况说明</w:t>
      </w:r>
      <w:bookmarkEnd w:id="42"/>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cs="仿宋_GB2312"/>
          <w:color w:val="auto"/>
          <w:sz w:val="32"/>
          <w:szCs w:val="32"/>
          <w:highlight w:val="none"/>
          <w:lang w:val="en-US" w:eastAsia="zh-CN"/>
        </w:rPr>
        <w:t>3.56</w:t>
      </w:r>
      <w:r>
        <w:rPr>
          <w:rFonts w:hint="eastAsia" w:ascii="仿宋_GB2312" w:hAnsi="仿宋_GB2312" w:eastAsia="仿宋_GB2312" w:cs="仿宋_GB2312"/>
          <w:color w:val="auto"/>
          <w:sz w:val="32"/>
          <w:szCs w:val="32"/>
          <w:highlight w:val="none"/>
        </w:rPr>
        <w:t>万元，完成预算</w:t>
      </w:r>
      <w:r>
        <w:rPr>
          <w:rFonts w:hint="eastAsia" w:ascii="仿宋_GB2312" w:hAnsi="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p>
    <w:p>
      <w:pPr>
        <w:spacing w:line="600" w:lineRule="exact"/>
        <w:ind w:firstLine="640"/>
        <w:outlineLvl w:val="2"/>
        <w:rPr>
          <w:rFonts w:hint="eastAsia" w:ascii="仿宋_GB2312" w:hAnsi="仿宋_GB2312" w:eastAsia="仿宋_GB2312" w:cs="仿宋_GB2312"/>
          <w:b/>
          <w:color w:val="000000"/>
          <w:sz w:val="32"/>
          <w:szCs w:val="32"/>
        </w:rPr>
      </w:pPr>
      <w:bookmarkStart w:id="43" w:name="_Toc15377217"/>
      <w:r>
        <w:rPr>
          <w:rFonts w:hint="eastAsia" w:ascii="仿宋_GB2312" w:hAnsi="仿宋_GB2312" w:eastAsia="仿宋_GB2312" w:cs="仿宋_GB2312"/>
          <w:b/>
          <w:color w:val="000000"/>
          <w:sz w:val="32"/>
          <w:szCs w:val="32"/>
        </w:rPr>
        <w:t>（二）“三公”经费财政拨款支出决算具体情况说明</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年“三公”经费财政拨款支出决算中，因公出国（境）费支出决算</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cs="仿宋_GB2312"/>
          <w:color w:val="auto"/>
          <w:sz w:val="32"/>
          <w:szCs w:val="32"/>
          <w:highlight w:val="none"/>
          <w:lang w:val="en-US" w:eastAsia="zh-CN"/>
        </w:rPr>
        <w:t>1.75</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49.16</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cs="仿宋_GB2312"/>
          <w:color w:val="auto"/>
          <w:sz w:val="32"/>
          <w:szCs w:val="32"/>
          <w:highlight w:val="none"/>
          <w:lang w:val="en-US" w:eastAsia="zh-CN"/>
        </w:rPr>
        <w:t>1.81</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50.84</w:t>
      </w:r>
      <w:r>
        <w:rPr>
          <w:rFonts w:hint="eastAsia" w:ascii="仿宋_GB2312" w:hAnsi="仿宋_GB2312" w:eastAsia="仿宋_GB2312" w:cs="仿宋_GB2312"/>
          <w:color w:val="auto"/>
          <w:sz w:val="32"/>
          <w:szCs w:val="32"/>
          <w:highlight w:val="none"/>
        </w:rPr>
        <w:t>%。具体情况如下：</w:t>
      </w:r>
    </w:p>
    <w:p>
      <w:pPr>
        <w:spacing w:line="240" w:lineRule="auto"/>
        <w:ind w:firstLine="0"/>
      </w:pPr>
      <w:r>
        <w:drawing>
          <wp:inline distT="0" distB="0" distL="114300" distR="114300">
            <wp:extent cx="5214620" cy="2608580"/>
            <wp:effectExtent l="4445" t="4445" r="19685" b="1587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24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（图7：“三公”经费财政拨款支出结构）（饼状图）</w:t>
      </w:r>
    </w:p>
    <w:p>
      <w:pPr>
        <w:spacing w:line="600" w:lineRule="exact"/>
        <w:ind w:firstLine="64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rPr>
        <w:t>1.因公出国（境）经费支出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6"/>
          <w:rFonts w:hint="eastAsia" w:ascii="仿宋_GB2312" w:hAnsi="仿宋_GB2312" w:eastAsia="仿宋_GB2312" w:cs="仿宋_GB2312"/>
          <w:b w:val="0"/>
          <w:bCs/>
          <w:color w:val="auto"/>
          <w:sz w:val="32"/>
          <w:szCs w:val="32"/>
          <w:highlight w:val="none"/>
        </w:rPr>
        <w:t>完成预算</w:t>
      </w:r>
      <w:r>
        <w:rPr>
          <w:rStyle w:val="16"/>
          <w:rFonts w:hint="eastAsia" w:ascii="仿宋_GB2312" w:hAnsi="仿宋_GB2312" w:cs="仿宋_GB2312"/>
          <w:b w:val="0"/>
          <w:bCs/>
          <w:color w:val="auto"/>
          <w:sz w:val="32"/>
          <w:szCs w:val="32"/>
          <w:highlight w:val="none"/>
          <w:lang w:val="en-US" w:eastAsia="zh-CN"/>
        </w:rPr>
        <w:t>100</w:t>
      </w:r>
      <w:r>
        <w:rPr>
          <w:rStyle w:val="16"/>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全年安排因公出国（境）团组</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次，出国（境）</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人。因公出国（境）支出决算</w:t>
      </w:r>
      <w:r>
        <w:rPr>
          <w:rFonts w:hint="eastAsia" w:ascii="仿宋_GB2312" w:hAnsi="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cs="仿宋_GB2312"/>
          <w:color w:val="auto"/>
          <w:sz w:val="32"/>
          <w:szCs w:val="32"/>
          <w:highlight w:val="none"/>
          <w:lang w:eastAsia="zh-CN"/>
        </w:rPr>
        <w:t>持平，主要原因是</w:t>
      </w:r>
      <w:r>
        <w:rPr>
          <w:rFonts w:hint="eastAsia" w:ascii="仿宋_GB2312" w:hAnsi="仿宋_GB2312" w:eastAsia="仿宋_GB2312" w:cs="仿宋_GB2312"/>
          <w:color w:val="000000"/>
          <w:sz w:val="30"/>
          <w:szCs w:val="30"/>
        </w:rPr>
        <w:t>受新冠肺炎疫情影响</w:t>
      </w:r>
      <w:r>
        <w:rPr>
          <w:rFonts w:hint="eastAsia" w:ascii="仿宋_GB2312" w:hAnsi="仿宋_GB2312" w:cs="仿宋_GB2312"/>
          <w:color w:val="000000"/>
          <w:sz w:val="30"/>
          <w:szCs w:val="30"/>
          <w:lang w:eastAsia="zh-CN"/>
        </w:rPr>
        <w:t>，未</w:t>
      </w:r>
      <w:r>
        <w:rPr>
          <w:rFonts w:hint="eastAsia" w:ascii="仿宋_GB2312" w:hAnsi="仿宋" w:eastAsia="仿宋_GB2312"/>
          <w:color w:val="auto"/>
          <w:sz w:val="32"/>
          <w:szCs w:val="32"/>
          <w:lang w:val="en-US" w:eastAsia="zh-CN"/>
        </w:rPr>
        <w:t>开展出国业务</w:t>
      </w:r>
      <w:r>
        <w:rPr>
          <w:rFonts w:hint="eastAsia" w:ascii="仿宋_GB2312" w:hAnsi="仿宋_GB2312" w:cs="仿宋_GB2312"/>
          <w:color w:val="000000"/>
          <w:sz w:val="30"/>
          <w:szCs w:val="30"/>
          <w:lang w:eastAsia="zh-CN"/>
        </w:rPr>
        <w:t>。</w:t>
      </w:r>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2.公务用车购置及运行维护费支出</w:t>
      </w:r>
      <w:r>
        <w:rPr>
          <w:rFonts w:hint="eastAsia" w:ascii="仿宋_GB2312" w:hAnsi="仿宋_GB2312" w:cs="仿宋_GB2312"/>
          <w:color w:val="auto"/>
          <w:sz w:val="32"/>
          <w:szCs w:val="32"/>
          <w:highlight w:val="none"/>
          <w:lang w:val="en-US" w:eastAsia="zh-CN"/>
        </w:rPr>
        <w:t>1.75</w:t>
      </w:r>
      <w:r>
        <w:rPr>
          <w:rFonts w:hint="eastAsia" w:ascii="仿宋_GB2312" w:hAnsi="仿宋_GB2312" w:eastAsia="仿宋_GB2312" w:cs="仿宋_GB2312"/>
          <w:color w:val="auto"/>
          <w:sz w:val="32"/>
          <w:szCs w:val="32"/>
          <w:highlight w:val="none"/>
        </w:rPr>
        <w:t>万元</w:t>
      </w:r>
      <w:r>
        <w:rPr>
          <w:rFonts w:hint="eastAsia" w:ascii="仿宋_GB2312" w:hAnsi="仿宋_GB2312" w:cs="仿宋_GB2312"/>
          <w:color w:val="auto"/>
          <w:sz w:val="32"/>
          <w:szCs w:val="32"/>
          <w:highlight w:val="none"/>
          <w:lang w:eastAsia="zh-CN"/>
        </w:rPr>
        <w:t>，</w:t>
      </w:r>
      <w:r>
        <w:rPr>
          <w:rStyle w:val="16"/>
          <w:rFonts w:hint="eastAsia" w:ascii="仿宋_GB2312" w:hAnsi="仿宋_GB2312" w:eastAsia="仿宋_GB2312" w:cs="仿宋_GB2312"/>
          <w:b w:val="0"/>
          <w:bCs/>
          <w:color w:val="auto"/>
          <w:sz w:val="32"/>
          <w:szCs w:val="32"/>
          <w:highlight w:val="none"/>
        </w:rPr>
        <w:t>完成预算</w:t>
      </w:r>
      <w:r>
        <w:rPr>
          <w:rStyle w:val="16"/>
          <w:rFonts w:hint="eastAsia" w:ascii="仿宋_GB2312" w:hAnsi="仿宋_GB2312" w:cs="仿宋_GB2312"/>
          <w:b w:val="0"/>
          <w:bCs/>
          <w:color w:val="auto"/>
          <w:sz w:val="32"/>
          <w:szCs w:val="32"/>
          <w:highlight w:val="none"/>
          <w:lang w:val="en-US" w:eastAsia="zh-CN"/>
        </w:rPr>
        <w:t>100</w:t>
      </w:r>
      <w:r>
        <w:rPr>
          <w:rStyle w:val="16"/>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公务用车购置及运行维护费支出决算比20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年减少</w:t>
      </w:r>
      <w:r>
        <w:rPr>
          <w:rFonts w:hint="eastAsia" w:ascii="仿宋_GB2312" w:hAnsi="仿宋_GB2312" w:cs="仿宋_GB2312"/>
          <w:color w:val="auto"/>
          <w:sz w:val="32"/>
          <w:szCs w:val="32"/>
          <w:highlight w:val="none"/>
          <w:lang w:val="en-US" w:eastAsia="zh-CN"/>
        </w:rPr>
        <w:t>1.66</w:t>
      </w:r>
      <w:r>
        <w:rPr>
          <w:rFonts w:hint="eastAsia" w:ascii="仿宋_GB2312" w:hAnsi="仿宋_GB2312" w:eastAsia="仿宋_GB2312" w:cs="仿宋_GB2312"/>
          <w:color w:val="auto"/>
          <w:sz w:val="32"/>
          <w:szCs w:val="32"/>
          <w:highlight w:val="none"/>
        </w:rPr>
        <w:t>万元，下降</w:t>
      </w:r>
      <w:r>
        <w:rPr>
          <w:rFonts w:hint="eastAsia" w:ascii="仿宋_GB2312" w:hAnsi="仿宋_GB2312" w:cs="仿宋_GB2312"/>
          <w:color w:val="auto"/>
          <w:sz w:val="32"/>
          <w:szCs w:val="32"/>
          <w:highlight w:val="none"/>
          <w:lang w:val="en-US" w:eastAsia="zh-CN"/>
        </w:rPr>
        <w:t>48.68</w:t>
      </w:r>
      <w:r>
        <w:rPr>
          <w:rFonts w:hint="eastAsia" w:ascii="仿宋_GB2312" w:hAnsi="仿宋_GB2312" w:eastAsia="仿宋_GB2312" w:cs="仿宋_GB2312"/>
          <w:color w:val="auto"/>
          <w:sz w:val="32"/>
          <w:szCs w:val="32"/>
          <w:highlight w:val="none"/>
        </w:rPr>
        <w:t>%。主要原因是</w:t>
      </w:r>
      <w:r>
        <w:rPr>
          <w:rFonts w:hint="eastAsia" w:ascii="仿宋_GB2312" w:hAnsi="仿宋" w:eastAsia="仿宋_GB2312"/>
          <w:color w:val="auto"/>
          <w:sz w:val="32"/>
          <w:szCs w:val="32"/>
          <w:lang w:val="en-US" w:eastAsia="zh-CN"/>
        </w:rPr>
        <w:t>受疫情影响，大量减少公务活动，油费、过路费相应减少</w:t>
      </w:r>
      <w:r>
        <w:rPr>
          <w:rFonts w:hint="eastAsia" w:ascii="仿宋_GB2312" w:hAnsi="仿宋"/>
          <w:color w:val="auto"/>
          <w:sz w:val="32"/>
          <w:szCs w:val="32"/>
          <w:lang w:val="en-US" w:eastAsia="zh-CN"/>
        </w:rPr>
        <w:t>。</w:t>
      </w:r>
    </w:p>
    <w:p>
      <w:pPr>
        <w:spacing w:line="600" w:lineRule="exact"/>
        <w:ind w:firstLine="640"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color w:val="auto"/>
          <w:sz w:val="32"/>
          <w:szCs w:val="32"/>
          <w:highlight w:val="none"/>
        </w:rPr>
        <w:t>公务用车购置支出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万元。全年按规定更新购置公务用车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000000"/>
          <w:szCs w:val="32"/>
        </w:rPr>
        <w:t>截至202</w:t>
      </w:r>
      <w:r>
        <w:rPr>
          <w:rFonts w:hint="eastAsia" w:ascii="仿宋_GB2312" w:hAnsi="仿宋_GB2312" w:cs="仿宋_GB2312"/>
          <w:color w:val="000000"/>
          <w:szCs w:val="32"/>
          <w:lang w:val="en-US" w:eastAsia="zh-CN"/>
        </w:rPr>
        <w:t>2</w:t>
      </w:r>
      <w:r>
        <w:rPr>
          <w:rFonts w:hint="eastAsia" w:ascii="仿宋_GB2312" w:hAnsi="仿宋_GB2312" w:eastAsia="仿宋_GB2312" w:cs="仿宋_GB2312"/>
          <w:color w:val="000000"/>
          <w:szCs w:val="32"/>
        </w:rPr>
        <w:t>年12月底，单位共有公务用车</w:t>
      </w:r>
      <w:r>
        <w:rPr>
          <w:rFonts w:hint="eastAsia" w:ascii="仿宋_GB2312" w:hAnsi="仿宋_GB2312" w:eastAsia="仿宋_GB2312" w:cs="仿宋_GB2312"/>
          <w:color w:val="000000"/>
          <w:szCs w:val="32"/>
          <w:lang w:val="en-US" w:eastAsia="zh-CN"/>
        </w:rPr>
        <w:t>1</w:t>
      </w:r>
      <w:r>
        <w:rPr>
          <w:rFonts w:hint="eastAsia" w:ascii="仿宋_GB2312" w:hAnsi="仿宋_GB2312" w:eastAsia="仿宋_GB2312" w:cs="仿宋_GB2312"/>
          <w:color w:val="000000"/>
          <w:szCs w:val="32"/>
        </w:rPr>
        <w:t>辆，其中：越野车</w:t>
      </w:r>
      <w:r>
        <w:rPr>
          <w:rFonts w:hint="eastAsia" w:ascii="仿宋_GB2312" w:hAnsi="仿宋_GB2312" w:eastAsia="仿宋_GB2312" w:cs="仿宋_GB2312"/>
          <w:color w:val="000000"/>
          <w:szCs w:val="32"/>
          <w:lang w:val="en-US" w:eastAsia="zh-CN"/>
        </w:rPr>
        <w:t>1</w:t>
      </w:r>
      <w:r>
        <w:rPr>
          <w:rFonts w:hint="eastAsia" w:ascii="仿宋_GB2312" w:hAnsi="仿宋_GB2312" w:eastAsia="仿宋_GB2312" w:cs="仿宋_GB2312"/>
          <w:color w:val="000000"/>
          <w:szCs w:val="32"/>
        </w:rPr>
        <w:t>辆。</w:t>
      </w:r>
    </w:p>
    <w:p>
      <w:pPr>
        <w:spacing w:line="600" w:lineRule="exact"/>
        <w:ind w:firstLine="643" w:firstLineChars="200"/>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公务用车运行维护费支出</w:t>
      </w:r>
      <w:r>
        <w:rPr>
          <w:rFonts w:hint="eastAsia" w:ascii="仿宋_GB2312" w:hAnsi="仿宋_GB2312" w:eastAsia="仿宋_GB2312" w:cs="仿宋_GB2312"/>
          <w:color w:val="000000"/>
          <w:szCs w:val="32"/>
          <w:lang w:val="en-US" w:eastAsia="zh-CN"/>
        </w:rPr>
        <w:t>1.75</w:t>
      </w:r>
      <w:r>
        <w:rPr>
          <w:rFonts w:hint="eastAsia" w:ascii="仿宋_GB2312" w:hAnsi="仿宋_GB2312" w:eastAsia="仿宋_GB2312" w:cs="仿宋_GB2312"/>
          <w:color w:val="000000"/>
          <w:szCs w:val="32"/>
        </w:rPr>
        <w:t>万元</w:t>
      </w:r>
      <w:r>
        <w:rPr>
          <w:rFonts w:hint="eastAsia" w:ascii="仿宋_GB2312" w:hAnsi="仿宋_GB2312" w:eastAsia="仿宋_GB2312" w:cs="仿宋_GB2312"/>
          <w:color w:val="000000"/>
          <w:szCs w:val="32"/>
          <w:lang w:eastAsia="zh-CN"/>
        </w:rPr>
        <w:t>，完成调整预算</w:t>
      </w:r>
      <w:r>
        <w:rPr>
          <w:rFonts w:hint="eastAsia" w:ascii="仿宋_GB2312" w:hAnsi="仿宋_GB2312" w:eastAsia="仿宋_GB2312" w:cs="仿宋_GB2312"/>
          <w:color w:val="000000"/>
          <w:szCs w:val="32"/>
          <w:lang w:val="en-US" w:eastAsia="zh-CN"/>
        </w:rPr>
        <w:t>100%</w:t>
      </w:r>
      <w:r>
        <w:rPr>
          <w:rFonts w:hint="eastAsia" w:ascii="仿宋_GB2312" w:hAnsi="仿宋_GB2312" w:eastAsia="仿宋_GB2312" w:cs="仿宋_GB2312"/>
          <w:color w:val="000000"/>
          <w:szCs w:val="32"/>
        </w:rPr>
        <w:t>。主要用于化石勘探挖掘、办理各种事务、应急车辆值班等所需的公务用车燃料费、维修费、过路过桥费、保险费等支出。</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公务接待费支出</w:t>
      </w:r>
      <w:r>
        <w:rPr>
          <w:rFonts w:hint="eastAsia" w:ascii="仿宋_GB2312" w:hAnsi="仿宋_GB2312" w:cs="仿宋_GB2312"/>
          <w:color w:val="auto"/>
          <w:sz w:val="32"/>
          <w:szCs w:val="32"/>
          <w:highlight w:val="none"/>
          <w:lang w:val="en-US" w:eastAsia="zh-CN"/>
        </w:rPr>
        <w:t>1.81</w:t>
      </w:r>
      <w:r>
        <w:rPr>
          <w:rFonts w:hint="eastAsia" w:ascii="仿宋_GB2312" w:hAnsi="仿宋_GB2312" w:eastAsia="仿宋_GB2312" w:cs="仿宋_GB2312"/>
          <w:color w:val="auto"/>
          <w:sz w:val="32"/>
          <w:szCs w:val="32"/>
          <w:highlight w:val="none"/>
        </w:rPr>
        <w:t>万元，</w:t>
      </w:r>
      <w:r>
        <w:rPr>
          <w:rStyle w:val="16"/>
          <w:rFonts w:hint="eastAsia" w:ascii="仿宋_GB2312" w:hAnsi="仿宋_GB2312" w:eastAsia="仿宋_GB2312" w:cs="仿宋_GB2312"/>
          <w:b w:val="0"/>
          <w:bCs/>
          <w:color w:val="auto"/>
          <w:sz w:val="32"/>
          <w:szCs w:val="32"/>
          <w:highlight w:val="none"/>
        </w:rPr>
        <w:t>完成预算</w:t>
      </w:r>
      <w:r>
        <w:rPr>
          <w:rStyle w:val="16"/>
          <w:rFonts w:hint="eastAsia" w:ascii="仿宋_GB2312" w:hAnsi="仿宋_GB2312" w:cs="仿宋_GB2312"/>
          <w:b w:val="0"/>
          <w:bCs/>
          <w:color w:val="auto"/>
          <w:sz w:val="32"/>
          <w:szCs w:val="32"/>
          <w:highlight w:val="none"/>
          <w:lang w:val="en-US" w:eastAsia="zh-CN"/>
        </w:rPr>
        <w:t>100</w:t>
      </w:r>
      <w:r>
        <w:rPr>
          <w:rStyle w:val="16"/>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公务接待费支出决算比20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年增加</w:t>
      </w:r>
      <w:r>
        <w:rPr>
          <w:rFonts w:hint="eastAsia" w:ascii="仿宋_GB2312" w:hAnsi="仿宋_GB2312" w:cs="仿宋_GB2312"/>
          <w:color w:val="auto"/>
          <w:sz w:val="32"/>
          <w:szCs w:val="32"/>
          <w:highlight w:val="none"/>
          <w:lang w:val="en-US" w:eastAsia="zh-CN"/>
        </w:rPr>
        <w:t>0.57</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45.97</w:t>
      </w:r>
      <w:r>
        <w:rPr>
          <w:rFonts w:hint="eastAsia" w:ascii="仿宋_GB2312" w:hAnsi="仿宋_GB2312" w:eastAsia="仿宋_GB2312" w:cs="仿宋_GB2312"/>
          <w:color w:val="auto"/>
          <w:sz w:val="32"/>
          <w:szCs w:val="32"/>
          <w:highlight w:val="none"/>
        </w:rPr>
        <w:t>%。主要原因是</w:t>
      </w:r>
      <w:r>
        <w:rPr>
          <w:rFonts w:hint="eastAsia" w:ascii="仿宋_GB2312" w:hAnsi="仿宋" w:eastAsia="仿宋_GB2312"/>
          <w:color w:val="auto"/>
          <w:sz w:val="32"/>
          <w:szCs w:val="32"/>
          <w:lang w:val="en-US" w:eastAsia="zh-CN"/>
        </w:rPr>
        <w:t>2022年度</w:t>
      </w:r>
      <w:r>
        <w:rPr>
          <w:rFonts w:hint="eastAsia" w:ascii="仿宋_GB2312" w:hAnsi="仿宋"/>
          <w:color w:val="auto"/>
          <w:sz w:val="32"/>
          <w:szCs w:val="32"/>
          <w:lang w:val="en-US" w:eastAsia="zh-CN"/>
        </w:rPr>
        <w:t>业务活动增加，包括：博物馆之间考察交流，科研单位来馆观察标本、学术交往，一些单位为引进恐龙展实地考察等。</w:t>
      </w:r>
      <w:r>
        <w:rPr>
          <w:rFonts w:hint="eastAsia" w:ascii="仿宋_GB2312" w:hAnsi="仿宋_GB2312" w:eastAsia="仿宋_GB2312" w:cs="仿宋_GB2312"/>
          <w:color w:val="auto"/>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仿宋_GB2312" w:hAnsi="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国内公务接待支出</w:t>
      </w:r>
      <w:r>
        <w:rPr>
          <w:rFonts w:hint="eastAsia" w:ascii="仿宋_GB2312" w:hAnsi="仿宋_GB2312" w:cs="仿宋_GB2312"/>
          <w:color w:val="auto"/>
          <w:sz w:val="32"/>
          <w:szCs w:val="32"/>
          <w:highlight w:val="none"/>
          <w:lang w:val="en-US" w:eastAsia="zh-CN"/>
        </w:rPr>
        <w:t>1.81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000000"/>
          <w:szCs w:val="32"/>
        </w:rPr>
        <w:t>主要用于</w:t>
      </w:r>
      <w:r>
        <w:rPr>
          <w:rFonts w:hint="eastAsia" w:ascii="仿宋_GB2312" w:hAnsi="仿宋_GB2312" w:cs="仿宋_GB2312"/>
          <w:color w:val="000000"/>
          <w:szCs w:val="32"/>
          <w:lang w:eastAsia="zh-CN"/>
        </w:rPr>
        <w:t>学术交流、标本调查对比、业务沟通等</w:t>
      </w:r>
      <w:r>
        <w:rPr>
          <w:rFonts w:hint="eastAsia" w:ascii="仿宋_GB2312" w:hAnsi="仿宋_GB2312" w:eastAsia="仿宋_GB2312" w:cs="仿宋_GB2312"/>
          <w:color w:val="000000"/>
          <w:szCs w:val="32"/>
        </w:rPr>
        <w:t>业务活动用餐费</w:t>
      </w:r>
      <w:r>
        <w:rPr>
          <w:rFonts w:hint="eastAsia" w:ascii="仿宋_GB2312" w:hAnsi="仿宋_GB2312" w:eastAsia="仿宋_GB2312" w:cs="仿宋_GB2312"/>
          <w:color w:val="auto"/>
          <w:sz w:val="32"/>
          <w:szCs w:val="32"/>
          <w:highlight w:val="none"/>
        </w:rPr>
        <w:t>。国内公务接待</w:t>
      </w:r>
      <w:r>
        <w:rPr>
          <w:rFonts w:hint="eastAsia" w:ascii="仿宋_GB2312" w:hAnsi="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批次，</w:t>
      </w:r>
      <w:r>
        <w:rPr>
          <w:rFonts w:hint="eastAsia" w:ascii="仿宋_GB2312" w:hAnsi="仿宋_GB2312" w:cs="仿宋_GB2312"/>
          <w:color w:val="auto"/>
          <w:sz w:val="32"/>
          <w:szCs w:val="32"/>
          <w:highlight w:val="none"/>
          <w:lang w:val="en-US" w:eastAsia="zh-CN"/>
        </w:rPr>
        <w:t>187</w:t>
      </w:r>
      <w:r>
        <w:rPr>
          <w:rFonts w:hint="eastAsia" w:ascii="仿宋_GB2312" w:hAnsi="仿宋_GB2312" w:eastAsia="仿宋_GB2312" w:cs="仿宋_GB2312"/>
          <w:color w:val="auto"/>
          <w:sz w:val="32"/>
          <w:szCs w:val="32"/>
          <w:highlight w:val="none"/>
        </w:rPr>
        <w:t>人次（不包括陪同人员），共计支出</w:t>
      </w:r>
      <w:r>
        <w:rPr>
          <w:rFonts w:hint="eastAsia" w:ascii="仿宋_GB2312" w:hAnsi="仿宋_GB2312" w:cs="仿宋_GB2312"/>
          <w:color w:val="auto"/>
          <w:sz w:val="32"/>
          <w:szCs w:val="32"/>
          <w:highlight w:val="none"/>
          <w:lang w:val="en-US" w:eastAsia="zh-CN"/>
        </w:rPr>
        <w:t>1.81</w:t>
      </w:r>
      <w:r>
        <w:rPr>
          <w:rFonts w:hint="eastAsia" w:ascii="仿宋_GB2312" w:hAnsi="仿宋_GB2312" w:eastAsia="仿宋_GB2312" w:cs="仿宋_GB2312"/>
          <w:color w:val="auto"/>
          <w:sz w:val="32"/>
          <w:szCs w:val="32"/>
          <w:highlight w:val="none"/>
        </w:rPr>
        <w:t>万元，具体内容包括：成都杜甫草堂博物馆</w:t>
      </w:r>
      <w:r>
        <w:rPr>
          <w:rFonts w:hint="eastAsia" w:ascii="仿宋_GB2312" w:hAnsi="仿宋_GB2312" w:cs="仿宋_GB2312"/>
          <w:color w:val="auto"/>
          <w:sz w:val="32"/>
          <w:szCs w:val="32"/>
          <w:highlight w:val="none"/>
          <w:lang w:eastAsia="zh-CN"/>
        </w:rPr>
        <w:t>交流学习</w:t>
      </w:r>
      <w:r>
        <w:rPr>
          <w:rFonts w:hint="eastAsia" w:ascii="仿宋_GB2312" w:hAnsi="仿宋_GB2312" w:cs="仿宋_GB2312"/>
          <w:color w:val="auto"/>
          <w:sz w:val="32"/>
          <w:szCs w:val="32"/>
          <w:highlight w:val="none"/>
          <w:lang w:val="en-US" w:eastAsia="zh-CN"/>
        </w:rPr>
        <w:t>0.13万元；广东省集美设计工程有限公司业务沟通0.11万元；广东省集美设计工程有限公司业务沟通0.13万元；重庆地勘局208地质队来馆观察对比标本事宜0.08万元；四川省煤田地质局137队来馆交流学习0.09万元；四川省文物局调研学习0.09万元；汝阳县文旅融合工作领导小组来馆考察学习0.22万元；</w:t>
      </w:r>
      <w:r>
        <w:rPr>
          <w:rFonts w:hint="default" w:ascii="仿宋_GB2312" w:hAnsi="仿宋_GB2312" w:eastAsia="仿宋_GB2312" w:cs="仿宋_GB2312"/>
          <w:color w:val="auto"/>
          <w:sz w:val="32"/>
          <w:szCs w:val="32"/>
          <w:highlight w:val="none"/>
          <w:lang w:val="en-US" w:eastAsia="zh-CN"/>
        </w:rPr>
        <w:t>四川省文物局开展</w:t>
      </w:r>
      <w:r>
        <w:rPr>
          <w:rFonts w:hint="eastAsia" w:ascii="仿宋_GB2312" w:hAnsi="仿宋_GB2312" w:cs="仿宋_GB2312"/>
          <w:color w:val="auto"/>
          <w:sz w:val="32"/>
          <w:szCs w:val="32"/>
          <w:highlight w:val="none"/>
          <w:lang w:val="en-US" w:eastAsia="zh-CN"/>
        </w:rPr>
        <w:t>调研</w:t>
      </w:r>
      <w:r>
        <w:rPr>
          <w:rFonts w:hint="default" w:ascii="仿宋_GB2312" w:hAnsi="仿宋_GB2312" w:eastAsia="仿宋_GB2312" w:cs="仿宋_GB2312"/>
          <w:color w:val="auto"/>
          <w:sz w:val="32"/>
          <w:szCs w:val="32"/>
          <w:highlight w:val="none"/>
          <w:lang w:val="en-US" w:eastAsia="zh-CN"/>
        </w:rPr>
        <w:t>工作</w:t>
      </w:r>
      <w:r>
        <w:rPr>
          <w:rFonts w:hint="eastAsia" w:ascii="仿宋_GB2312" w:hAnsi="仿宋_GB2312" w:cs="仿宋_GB2312"/>
          <w:color w:val="auto"/>
          <w:sz w:val="32"/>
          <w:szCs w:val="32"/>
          <w:highlight w:val="none"/>
          <w:lang w:val="en-US" w:eastAsia="zh-CN"/>
        </w:rPr>
        <w:t>0.07万元；南充博物院来馆调研沟通0.19万元；云阳县普安恐龙化石管理委员会交流学习0.09万元；重庆市地勘局208队标本对比0.1万元；中国地质调查局成都地质调查中心来馆进行恐龙标本观察事宜0.1万元；省文物局现场调研0.09万元；四川省地质矿产勘查开发局区域地质调查队下属公司四川省容大九州旅游科技有限公司来馆考察学习0.04万元；西峡恐龙遗迹园旅游有限公司来馆考察学习洽谈合作事宜0.11万元；德阳市博物馆来馆参观学习0.07万元；江油市李白纪念馆来馆参观学习0.05万元；崇州天演博物馆来馆学习考察0.08万元。</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黑体" w:eastAsia="黑体"/>
          <w:color w:val="000000"/>
          <w:szCs w:val="32"/>
        </w:rPr>
      </w:pPr>
      <w:r>
        <w:rPr>
          <w:rFonts w:hint="eastAsia" w:ascii="仿宋_GB2312" w:hAnsi="仿宋_GB2312" w:eastAsia="仿宋_GB2312" w:cs="仿宋_GB2312"/>
          <w:b/>
          <w:color w:val="auto"/>
          <w:sz w:val="32"/>
          <w:szCs w:val="32"/>
          <w:highlight w:val="none"/>
        </w:rPr>
        <w:t>外事接待支出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color w:val="000000"/>
          <w:szCs w:val="32"/>
        </w:rPr>
        <w:t>外事接待</w:t>
      </w:r>
      <w:r>
        <w:rPr>
          <w:rFonts w:hint="eastAsia" w:ascii="仿宋_GB2312"/>
          <w:color w:val="000000"/>
          <w:szCs w:val="32"/>
          <w:lang w:val="en-US" w:eastAsia="zh-CN"/>
        </w:rPr>
        <w:t>0</w:t>
      </w:r>
      <w:r>
        <w:rPr>
          <w:rFonts w:hint="eastAsia" w:ascii="仿宋_GB2312"/>
          <w:color w:val="000000"/>
          <w:szCs w:val="32"/>
        </w:rPr>
        <w:t>批次，</w:t>
      </w:r>
      <w:r>
        <w:rPr>
          <w:rFonts w:hint="eastAsia" w:ascii="仿宋_GB2312"/>
          <w:color w:val="000000"/>
          <w:szCs w:val="32"/>
          <w:lang w:val="en-US" w:eastAsia="zh-CN"/>
        </w:rPr>
        <w:t>0</w:t>
      </w:r>
      <w:r>
        <w:rPr>
          <w:rFonts w:hint="eastAsia" w:ascii="仿宋_GB2312"/>
          <w:color w:val="000000"/>
          <w:szCs w:val="32"/>
        </w:rPr>
        <w:t>人，共计支出</w:t>
      </w:r>
      <w:r>
        <w:rPr>
          <w:rFonts w:hint="eastAsia" w:ascii="仿宋_GB2312"/>
          <w:color w:val="000000"/>
          <w:szCs w:val="32"/>
          <w:lang w:val="en-US" w:eastAsia="zh-CN"/>
        </w:rPr>
        <w:t>0</w:t>
      </w:r>
      <w:r>
        <w:rPr>
          <w:rFonts w:hint="eastAsia" w:ascii="仿宋_GB2312"/>
          <w:color w:val="000000"/>
          <w:szCs w:val="32"/>
        </w:rPr>
        <w:t>万元。</w:t>
      </w:r>
    </w:p>
    <w:p>
      <w:pPr>
        <w:spacing w:line="600" w:lineRule="exact"/>
        <w:ind w:firstLine="640"/>
        <w:outlineLvl w:val="1"/>
        <w:rPr>
          <w:rFonts w:ascii="黑体" w:eastAsia="黑体"/>
          <w:color w:val="000000"/>
          <w:sz w:val="32"/>
          <w:szCs w:val="32"/>
        </w:rPr>
      </w:pPr>
      <w:bookmarkStart w:id="44" w:name="_Toc15377218"/>
      <w:bookmarkStart w:id="45" w:name="_Toc15396610"/>
    </w:p>
    <w:p>
      <w:pPr>
        <w:spacing w:line="600" w:lineRule="exact"/>
        <w:ind w:firstLine="640"/>
        <w:outlineLvl w:val="1"/>
        <w:rPr>
          <w:rStyle w:val="19"/>
          <w:rFonts w:ascii="黑体" w:hAnsi="黑体" w:eastAsia="黑体"/>
        </w:rPr>
      </w:pPr>
      <w:bookmarkStart w:id="46" w:name="_Toc1591094750"/>
      <w:bookmarkStart w:id="47" w:name="_Toc27509"/>
      <w:r>
        <w:rPr>
          <w:rFonts w:hint="eastAsia" w:ascii="黑体" w:eastAsia="黑体"/>
          <w:color w:val="000000"/>
          <w:sz w:val="32"/>
          <w:szCs w:val="32"/>
        </w:rPr>
        <w:t>八、</w:t>
      </w:r>
      <w:r>
        <w:rPr>
          <w:rStyle w:val="19"/>
          <w:rFonts w:hint="eastAsia" w:ascii="黑体" w:hAnsi="黑体" w:eastAsia="黑体"/>
          <w:b w:val="0"/>
        </w:rPr>
        <w:t>政府性基金预算支出决算情况说明</w:t>
      </w:r>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年政府性基金预算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Cs w:val="32"/>
          <w:lang w:eastAsia="zh-CN"/>
        </w:rPr>
        <w:t>与</w:t>
      </w:r>
      <w:r>
        <w:rPr>
          <w:rFonts w:hint="eastAsia" w:ascii="仿宋_GB2312" w:hAnsi="仿宋_GB2312" w:cs="仿宋_GB2312"/>
          <w:color w:val="auto"/>
          <w:szCs w:val="32"/>
          <w:lang w:val="en-US" w:eastAsia="zh-CN"/>
        </w:rPr>
        <w:t>2021年持平</w:t>
      </w:r>
      <w:r>
        <w:rPr>
          <w:rFonts w:hint="eastAsia" w:ascii="仿宋_GB2312" w:hAnsi="仿宋_GB2312" w:eastAsia="仿宋_GB2312" w:cs="仿宋_GB2312"/>
          <w:color w:val="auto"/>
          <w:szCs w:val="32"/>
        </w:rPr>
        <w:t>。</w:t>
      </w:r>
    </w:p>
    <w:p>
      <w:pPr>
        <w:pStyle w:val="2"/>
      </w:pPr>
    </w:p>
    <w:p>
      <w:pPr>
        <w:numPr>
          <w:ilvl w:val="0"/>
          <w:numId w:val="3"/>
        </w:numPr>
        <w:spacing w:line="600" w:lineRule="exact"/>
        <w:ind w:firstLine="640"/>
        <w:outlineLvl w:val="1"/>
        <w:rPr>
          <w:rStyle w:val="19"/>
          <w:rFonts w:ascii="黑体" w:hAnsi="黑体" w:eastAsia="黑体"/>
          <w:b w:val="0"/>
        </w:rPr>
      </w:pPr>
      <w:bookmarkStart w:id="48" w:name="_Toc269"/>
      <w:bookmarkStart w:id="49" w:name="_Toc15396611"/>
      <w:bookmarkStart w:id="50" w:name="_Toc15377219"/>
      <w:bookmarkStart w:id="51" w:name="_Toc937569418"/>
      <w:r>
        <w:rPr>
          <w:rStyle w:val="19"/>
          <w:rFonts w:hint="eastAsia" w:ascii="黑体" w:hAnsi="黑体" w:eastAsia="黑体"/>
          <w:b w:val="0"/>
        </w:rPr>
        <w:t>国有资本经营预算支出决算情况说明</w:t>
      </w:r>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年国有资本经营预算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Cs w:val="32"/>
          <w:lang w:eastAsia="zh-CN"/>
        </w:rPr>
        <w:t>与</w:t>
      </w:r>
      <w:r>
        <w:rPr>
          <w:rFonts w:hint="eastAsia" w:ascii="仿宋_GB2312" w:hAnsi="仿宋_GB2312" w:cs="仿宋_GB2312"/>
          <w:color w:val="auto"/>
          <w:szCs w:val="32"/>
          <w:lang w:val="en-US" w:eastAsia="zh-CN"/>
        </w:rPr>
        <w:t>2021年持平</w:t>
      </w:r>
      <w:r>
        <w:rPr>
          <w:rFonts w:hint="eastAsia" w:ascii="仿宋_GB2312" w:hAnsi="仿宋_GB2312" w:eastAsia="仿宋_GB2312" w:cs="仿宋_GB2312"/>
          <w:color w:val="auto"/>
          <w:szCs w:val="32"/>
        </w:rPr>
        <w:t>。</w:t>
      </w:r>
    </w:p>
    <w:p>
      <w:pPr>
        <w:pStyle w:val="2"/>
        <w:rPr>
          <w:rFonts w:hint="eastAsia"/>
        </w:rPr>
      </w:pPr>
    </w:p>
    <w:p>
      <w:pPr>
        <w:spacing w:line="600" w:lineRule="exact"/>
        <w:ind w:firstLine="800" w:firstLineChars="250"/>
        <w:outlineLvl w:val="1"/>
        <w:rPr>
          <w:rStyle w:val="19"/>
          <w:rFonts w:ascii="黑体" w:hAnsi="黑体" w:eastAsia="黑体"/>
        </w:rPr>
      </w:pPr>
      <w:bookmarkStart w:id="52" w:name="_Toc15678"/>
      <w:bookmarkStart w:id="53" w:name="_Toc15396612"/>
      <w:bookmarkStart w:id="54" w:name="_Toc15377221"/>
      <w:bookmarkStart w:id="55" w:name="_Toc479257254"/>
      <w:r>
        <w:rPr>
          <w:rFonts w:hint="eastAsia" w:ascii="黑体" w:hAnsi="黑体" w:eastAsia="黑体"/>
          <w:color w:val="000000"/>
          <w:sz w:val="32"/>
          <w:szCs w:val="32"/>
        </w:rPr>
        <w:t>十</w:t>
      </w:r>
      <w:r>
        <w:rPr>
          <w:rStyle w:val="19"/>
          <w:rFonts w:hint="eastAsia" w:ascii="黑体" w:hAnsi="黑体" w:eastAsia="黑体"/>
        </w:rPr>
        <w:t>、</w:t>
      </w:r>
      <w:r>
        <w:rPr>
          <w:rStyle w:val="19"/>
          <w:rFonts w:hint="eastAsia" w:ascii="黑体" w:hAnsi="黑体" w:eastAsia="黑体"/>
          <w:b w:val="0"/>
        </w:rPr>
        <w:t>其他重要事项的情况说明</w:t>
      </w:r>
      <w:bookmarkEnd w:id="52"/>
      <w:bookmarkEnd w:id="53"/>
      <w:bookmarkEnd w:id="54"/>
      <w:bookmarkEnd w:id="55"/>
    </w:p>
    <w:p>
      <w:pPr>
        <w:spacing w:line="600" w:lineRule="exact"/>
        <w:ind w:firstLine="643" w:firstLineChars="200"/>
        <w:outlineLvl w:val="2"/>
        <w:rPr>
          <w:rFonts w:hint="eastAsia" w:ascii="仿宋_GB2312" w:hAnsi="仿宋_GB2312" w:eastAsia="仿宋_GB2312" w:cs="仿宋_GB2312"/>
          <w:color w:val="000000"/>
          <w:sz w:val="32"/>
          <w:szCs w:val="32"/>
        </w:rPr>
      </w:pPr>
      <w:bookmarkStart w:id="56" w:name="_Toc15377222"/>
      <w:r>
        <w:rPr>
          <w:rFonts w:hint="eastAsia" w:ascii="仿宋_GB2312" w:hAnsi="仿宋_GB2312" w:eastAsia="仿宋_GB2312" w:cs="仿宋_GB2312"/>
          <w:b/>
          <w:color w:val="000000"/>
          <w:sz w:val="32"/>
          <w:szCs w:val="32"/>
        </w:rPr>
        <w:t>（一）机关运行经费支出情况</w:t>
      </w:r>
      <w:bookmarkEnd w:id="5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我单位为公益二类事业单位，</w:t>
      </w:r>
      <w:r>
        <w:rPr>
          <w:rFonts w:hint="eastAsia" w:ascii="仿宋_GB2312" w:hAnsi="仿宋_GB2312" w:eastAsia="仿宋_GB2312" w:cs="仿宋_GB2312"/>
          <w:color w:val="000000"/>
          <w:sz w:val="32"/>
          <w:szCs w:val="32"/>
        </w:rPr>
        <w:t>机关运行经费支出</w:t>
      </w:r>
      <w:r>
        <w:rPr>
          <w:rFonts w:hint="eastAsia" w:ascii="仿宋_GB2312" w:hAnsi="仿宋_GB2312" w:cs="仿宋_GB2312"/>
          <w:color w:val="000000"/>
          <w:sz w:val="32"/>
          <w:szCs w:val="32"/>
          <w:lang w:val="en-US" w:eastAsia="zh-CN"/>
        </w:rPr>
        <w:t>0万元</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与202</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年持平。</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7" w:name="_Toc15377223"/>
      <w:r>
        <w:rPr>
          <w:rFonts w:hint="eastAsia" w:ascii="仿宋_GB2312" w:hAnsi="仿宋_GB2312" w:eastAsia="仿宋_GB2312" w:cs="仿宋_GB2312"/>
          <w:b/>
          <w:color w:val="000000"/>
          <w:sz w:val="32"/>
          <w:szCs w:val="32"/>
        </w:rPr>
        <w:t>（二）政府采购支出情况</w:t>
      </w:r>
      <w:bookmarkEnd w:id="5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color w:val="000000"/>
          <w:szCs w:val="32"/>
        </w:rPr>
        <w:t>202</w:t>
      </w:r>
      <w:r>
        <w:rPr>
          <w:rFonts w:hint="eastAsia" w:ascii="仿宋_GB2312"/>
          <w:color w:val="000000"/>
          <w:szCs w:val="32"/>
          <w:lang w:val="en-US" w:eastAsia="zh-CN"/>
        </w:rPr>
        <w:t>2</w:t>
      </w:r>
      <w:r>
        <w:rPr>
          <w:rFonts w:hint="eastAsia" w:ascii="仿宋_GB2312"/>
          <w:color w:val="000000"/>
          <w:szCs w:val="32"/>
        </w:rPr>
        <w:t>年</w:t>
      </w:r>
      <w:r>
        <w:rPr>
          <w:rFonts w:hint="eastAsia" w:ascii="仿宋_GB2312"/>
          <w:color w:val="000000"/>
          <w:szCs w:val="32"/>
          <w:lang w:val="en-US" w:eastAsia="zh-CN"/>
        </w:rPr>
        <w:t>自贡恐龙博物馆</w:t>
      </w:r>
      <w:r>
        <w:rPr>
          <w:rFonts w:hint="eastAsia" w:ascii="仿宋_GB2312"/>
          <w:color w:val="000000"/>
          <w:szCs w:val="32"/>
        </w:rPr>
        <w:t>政府采购支出总额</w:t>
      </w:r>
      <w:r>
        <w:rPr>
          <w:rFonts w:hint="eastAsia" w:ascii="仿宋_GB2312"/>
          <w:color w:val="000000"/>
          <w:szCs w:val="32"/>
          <w:lang w:val="en-US" w:eastAsia="zh-CN"/>
        </w:rPr>
        <w:t>202.01</w:t>
      </w:r>
      <w:r>
        <w:rPr>
          <w:rFonts w:hint="eastAsia" w:ascii="仿宋_GB2312"/>
          <w:color w:val="000000"/>
          <w:szCs w:val="32"/>
        </w:rPr>
        <w:t>万元，其中：政府采购货物支出</w:t>
      </w:r>
      <w:r>
        <w:rPr>
          <w:rFonts w:hint="eastAsia" w:ascii="仿宋_GB2312"/>
          <w:color w:val="000000"/>
          <w:szCs w:val="32"/>
          <w:lang w:val="en-US" w:eastAsia="zh-CN"/>
        </w:rPr>
        <w:t>18.20</w:t>
      </w:r>
      <w:r>
        <w:rPr>
          <w:rFonts w:hint="eastAsia" w:ascii="仿宋_GB2312"/>
          <w:color w:val="000000"/>
          <w:szCs w:val="32"/>
        </w:rPr>
        <w:t>万元、政府采购工程支出</w:t>
      </w:r>
      <w:r>
        <w:rPr>
          <w:rFonts w:hint="eastAsia" w:ascii="仿宋_GB2312"/>
          <w:color w:val="000000"/>
          <w:szCs w:val="32"/>
          <w:lang w:val="en-US" w:eastAsia="zh-CN"/>
        </w:rPr>
        <w:t>3.66</w:t>
      </w:r>
      <w:r>
        <w:rPr>
          <w:rFonts w:hint="eastAsia" w:ascii="仿宋_GB2312"/>
          <w:color w:val="000000"/>
          <w:szCs w:val="32"/>
        </w:rPr>
        <w:t>万元、政府采购服务支出</w:t>
      </w:r>
      <w:r>
        <w:rPr>
          <w:rFonts w:hint="eastAsia" w:ascii="仿宋_GB2312"/>
          <w:color w:val="000000"/>
          <w:szCs w:val="32"/>
          <w:lang w:val="en-US" w:eastAsia="zh-CN"/>
        </w:rPr>
        <w:t>180.15</w:t>
      </w:r>
      <w:r>
        <w:rPr>
          <w:rFonts w:hint="eastAsia" w:ascii="仿宋_GB2312"/>
          <w:color w:val="000000"/>
          <w:szCs w:val="32"/>
        </w:rPr>
        <w:t>万元。主要用于恐龙馆多功能临展厅改造</w:t>
      </w:r>
      <w:r>
        <w:rPr>
          <w:rFonts w:hint="eastAsia" w:ascii="仿宋_GB2312"/>
          <w:color w:val="000000"/>
          <w:szCs w:val="32"/>
          <w:lang w:eastAsia="zh-CN"/>
        </w:rPr>
        <w:t>；自贡恐龙博物馆数字化保护及展示利用采购项目；公务车保险费用；</w:t>
      </w:r>
      <w:r>
        <w:rPr>
          <w:rFonts w:hint="eastAsia" w:ascii="仿宋_GB2312"/>
          <w:color w:val="000000"/>
          <w:szCs w:val="32"/>
        </w:rPr>
        <w:t>购置台式</w:t>
      </w:r>
      <w:r>
        <w:rPr>
          <w:rFonts w:hint="eastAsia" w:ascii="仿宋_GB2312"/>
          <w:color w:val="000000"/>
          <w:szCs w:val="32"/>
          <w:lang w:eastAsia="zh-CN"/>
        </w:rPr>
        <w:t>电脑、空调及投影仪</w:t>
      </w:r>
      <w:r>
        <w:rPr>
          <w:rFonts w:hint="eastAsia" w:ascii="仿宋_GB2312"/>
          <w:color w:val="000000"/>
          <w:szCs w:val="32"/>
        </w:rPr>
        <w:t>等支出。授予中小企业合同金额</w:t>
      </w:r>
      <w:r>
        <w:rPr>
          <w:rFonts w:hint="eastAsia" w:ascii="仿宋_GB2312"/>
          <w:color w:val="000000"/>
          <w:szCs w:val="32"/>
          <w:lang w:val="en-US" w:eastAsia="zh-CN"/>
        </w:rPr>
        <w:t>61.48</w:t>
      </w:r>
      <w:r>
        <w:rPr>
          <w:rFonts w:hint="eastAsia" w:ascii="仿宋_GB2312"/>
          <w:color w:val="000000"/>
          <w:szCs w:val="32"/>
        </w:rPr>
        <w:t>万元，占政府采购支出总额的</w:t>
      </w:r>
      <w:r>
        <w:rPr>
          <w:rFonts w:hint="eastAsia" w:ascii="仿宋_GB2312"/>
          <w:color w:val="000000"/>
          <w:szCs w:val="32"/>
          <w:highlight w:val="none"/>
          <w:lang w:val="en-US" w:eastAsia="zh-CN"/>
        </w:rPr>
        <w:t>30.44</w:t>
      </w:r>
      <w:r>
        <w:rPr>
          <w:rFonts w:ascii="仿宋_GB2312"/>
          <w:color w:val="000000"/>
          <w:szCs w:val="32"/>
          <w:highlight w:val="none"/>
        </w:rPr>
        <w:t>%</w:t>
      </w:r>
      <w:r>
        <w:rPr>
          <w:rFonts w:hint="eastAsia" w:ascii="仿宋_GB2312"/>
          <w:color w:val="000000"/>
          <w:szCs w:val="32"/>
          <w:highlight w:val="none"/>
        </w:rPr>
        <w:t>，其中：授予小微企业合同金额</w:t>
      </w:r>
      <w:r>
        <w:rPr>
          <w:rFonts w:hint="eastAsia" w:ascii="仿宋_GB2312"/>
          <w:color w:val="000000"/>
          <w:szCs w:val="32"/>
          <w:highlight w:val="none"/>
          <w:lang w:val="en-US" w:eastAsia="zh-CN"/>
        </w:rPr>
        <w:t>31.67</w:t>
      </w:r>
      <w:r>
        <w:rPr>
          <w:rFonts w:hint="eastAsia" w:ascii="仿宋_GB2312"/>
          <w:color w:val="000000"/>
          <w:szCs w:val="32"/>
          <w:highlight w:val="none"/>
        </w:rPr>
        <w:t>万元，占政府采购支出总额的</w:t>
      </w:r>
      <w:r>
        <w:rPr>
          <w:rFonts w:hint="eastAsia" w:ascii="仿宋_GB2312"/>
          <w:color w:val="000000"/>
          <w:szCs w:val="32"/>
          <w:highlight w:val="none"/>
          <w:lang w:val="en-US" w:eastAsia="zh-CN"/>
        </w:rPr>
        <w:t>15.68</w:t>
      </w:r>
      <w:r>
        <w:rPr>
          <w:rFonts w:ascii="仿宋_GB2312"/>
          <w:color w:val="000000"/>
          <w:szCs w:val="32"/>
          <w:highlight w:val="none"/>
        </w:rPr>
        <w:t>%</w:t>
      </w:r>
      <w:r>
        <w:rPr>
          <w:rFonts w:hint="eastAsia" w:ascii="仿宋_GB2312"/>
          <w:color w:val="000000"/>
          <w:szCs w:val="32"/>
          <w:highlight w:val="none"/>
        </w:rPr>
        <w:t>。</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8" w:name="_Toc15377224"/>
      <w:r>
        <w:rPr>
          <w:rFonts w:hint="eastAsia" w:ascii="仿宋_GB2312" w:hAnsi="仿宋_GB2312" w:eastAsia="仿宋_GB2312" w:cs="仿宋_GB2312"/>
          <w:b/>
          <w:color w:val="000000"/>
          <w:sz w:val="32"/>
          <w:szCs w:val="32"/>
        </w:rPr>
        <w:t>（三）国有资产占有使用情况</w:t>
      </w:r>
      <w:bookmarkEnd w:id="58"/>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年12月31日，</w:t>
      </w:r>
      <w:r>
        <w:rPr>
          <w:rFonts w:hint="eastAsia" w:ascii="仿宋_GB2312"/>
          <w:color w:val="000000"/>
          <w:szCs w:val="32"/>
          <w:lang w:val="en-US" w:eastAsia="zh-CN"/>
        </w:rPr>
        <w:t>自贡恐龙博物馆</w:t>
      </w:r>
      <w:r>
        <w:rPr>
          <w:rFonts w:hint="eastAsia" w:ascii="仿宋_GB2312"/>
          <w:color w:val="000000"/>
          <w:szCs w:val="32"/>
        </w:rPr>
        <w:t>共有车辆</w:t>
      </w:r>
      <w:r>
        <w:rPr>
          <w:rFonts w:hint="eastAsia" w:ascii="仿宋_GB2312"/>
          <w:color w:val="000000"/>
          <w:szCs w:val="32"/>
          <w:lang w:val="en-US" w:eastAsia="zh-CN"/>
        </w:rPr>
        <w:t>1</w:t>
      </w:r>
      <w:r>
        <w:rPr>
          <w:rFonts w:hint="eastAsia" w:ascii="仿宋_GB2312"/>
          <w:color w:val="000000"/>
          <w:szCs w:val="32"/>
        </w:rPr>
        <w:t>辆</w:t>
      </w:r>
      <w:r>
        <w:rPr>
          <w:rFonts w:hint="eastAsia" w:ascii="仿宋_GB2312" w:hAnsi="仿宋_GB2312" w:eastAsia="仿宋_GB2312" w:cs="仿宋_GB2312"/>
          <w:color w:val="auto"/>
          <w:sz w:val="32"/>
          <w:szCs w:val="32"/>
          <w:highlight w:val="none"/>
        </w:rPr>
        <w:t>，其中：应急保障用车</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辆、单价100万元以上专用设备</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pPr>
        <w:pStyle w:val="2"/>
        <w:ind w:firstLine="640" w:firstLineChars="200"/>
        <w:rPr>
          <w:color w:val="auto"/>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年度预算编制阶段，组织对自贡恐龙博物馆陈列展览运行</w:t>
      </w:r>
      <w:r>
        <w:rPr>
          <w:rFonts w:hint="eastAsia" w:hAnsi="仿宋_GB2312" w:cs="仿宋_GB2312"/>
          <w:color w:val="auto"/>
          <w:sz w:val="32"/>
          <w:szCs w:val="32"/>
          <w:highlight w:val="none"/>
          <w:lang w:eastAsia="zh-CN"/>
        </w:rPr>
        <w:t>项目等</w:t>
      </w:r>
      <w:r>
        <w:rPr>
          <w:rFonts w:hint="eastAsia"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spacing w:line="580" w:lineRule="exact"/>
        <w:ind w:firstLine="640" w:firstLineChars="200"/>
        <w:rPr>
          <w:rFonts w:ascii="仿宋_GB2312" w:hAnsi="仿宋_GB2312" w:eastAsia="仿宋_GB2312" w:cs="仿宋_GB2312"/>
          <w:sz w:val="32"/>
          <w:szCs w:val="32"/>
        </w:rPr>
      </w:pPr>
      <w:bookmarkStart w:id="92" w:name="_GoBack"/>
      <w:bookmarkEnd w:id="92"/>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pPr>
    </w:p>
    <w:p>
      <w:pPr>
        <w:rPr>
          <w:rStyle w:val="18"/>
          <w:rFonts w:ascii="黑体" w:hAnsi="黑体" w:eastAsia="黑体"/>
          <w:b w:val="0"/>
        </w:rPr>
      </w:pPr>
      <w:bookmarkStart w:id="59" w:name="_Toc15377225"/>
      <w:bookmarkStart w:id="60" w:name="_Toc15396613"/>
      <w:r>
        <w:rPr>
          <w:rFonts w:hint="eastAsia" w:ascii="黑体" w:hAnsi="黑体" w:eastAsia="黑体"/>
          <w:color w:val="000000"/>
          <w:sz w:val="44"/>
          <w:szCs w:val="44"/>
        </w:rPr>
        <w:br w:type="page"/>
      </w:r>
    </w:p>
    <w:p>
      <w:pPr>
        <w:numPr>
          <w:ilvl w:val="0"/>
          <w:numId w:val="4"/>
        </w:numPr>
        <w:spacing w:line="600" w:lineRule="exact"/>
        <w:ind w:firstLine="660" w:firstLineChars="150"/>
        <w:jc w:val="center"/>
        <w:outlineLvl w:val="0"/>
        <w:rPr>
          <w:rStyle w:val="18"/>
          <w:rFonts w:ascii="黑体" w:hAnsi="黑体" w:eastAsia="黑体"/>
          <w:b w:val="0"/>
        </w:rPr>
      </w:pPr>
      <w:bookmarkStart w:id="61" w:name="_Toc19818"/>
      <w:r>
        <w:rPr>
          <w:rFonts w:hint="eastAsia" w:ascii="黑体" w:hAnsi="黑体" w:eastAsia="黑体"/>
          <w:color w:val="000000"/>
          <w:sz w:val="44"/>
          <w:szCs w:val="44"/>
        </w:rPr>
        <w:t>名</w:t>
      </w:r>
      <w:r>
        <w:rPr>
          <w:rStyle w:val="18"/>
          <w:rFonts w:hint="eastAsia" w:ascii="黑体" w:hAnsi="黑体" w:eastAsia="黑体"/>
          <w:b w:val="0"/>
        </w:rPr>
        <w:t>词解释</w:t>
      </w:r>
      <w:bookmarkEnd w:id="59"/>
      <w:bookmarkEnd w:id="60"/>
      <w:bookmarkEnd w:id="61"/>
    </w:p>
    <w:p>
      <w:pPr>
        <w:spacing w:line="600" w:lineRule="exact"/>
        <w:jc w:val="left"/>
        <w:rPr>
          <w:rFonts w:ascii="宋体"/>
          <w:b/>
          <w:color w:val="000000"/>
          <w:sz w:val="44"/>
          <w:szCs w:val="44"/>
        </w:rPr>
      </w:pP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bookmarkStart w:id="62"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经营收入：指事业单位在专业业务活动及其辅助活动之外开展非独立核算经营活动取得的收入。如</w:t>
      </w:r>
      <w:r>
        <w:rPr>
          <w:rFonts w:hint="eastAsia" w:ascii="仿宋_GB2312" w:eastAsia="仿宋_GB2312"/>
          <w:sz w:val="32"/>
          <w:szCs w:val="32"/>
          <w:lang w:val="en-US" w:eastAsia="zh-CN"/>
        </w:rPr>
        <w:t>对外展览收入、讲解服务收入、研学游收入、讲座收入、销售商品款</w:t>
      </w:r>
      <w:r>
        <w:rPr>
          <w:rFonts w:hint="eastAsia" w:ascii="仿宋_GB2312" w:eastAsia="仿宋_GB2312"/>
          <w:color w:val="auto"/>
          <w:sz w:val="32"/>
          <w:szCs w:val="32"/>
          <w:highlight w:val="none"/>
        </w:rPr>
        <w:t>等。</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sz w:val="32"/>
          <w:szCs w:val="32"/>
          <w:lang w:eastAsia="zh-CN"/>
        </w:rPr>
        <w:t>拾金不昧款、赔偿费用</w:t>
      </w:r>
      <w:r>
        <w:rPr>
          <w:rFonts w:hint="eastAsia" w:ascii="仿宋_GB2312" w:eastAsia="仿宋_GB2312"/>
          <w:color w:val="auto"/>
          <w:sz w:val="32"/>
          <w:szCs w:val="32"/>
          <w:highlight w:val="none"/>
        </w:rPr>
        <w:t>等。</w:t>
      </w:r>
      <w:r>
        <w:rPr>
          <w:rFonts w:ascii="仿宋_GB2312" w:eastAsia="仿宋_GB2312"/>
          <w:color w:val="auto"/>
          <w:sz w:val="32"/>
          <w:szCs w:val="32"/>
          <w:highlight w:val="none"/>
        </w:rPr>
        <w:t xml:space="preserve"> </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年末结转和结余：指单位按有关规定结转到下年或以后年度继续使用的资金。</w:t>
      </w:r>
    </w:p>
    <w:p>
      <w:pPr>
        <w:pStyle w:val="23"/>
        <w:keepNext w:val="0"/>
        <w:keepLines w:val="0"/>
        <w:pageBreakBefore w:val="0"/>
        <w:widowControl w:val="0"/>
        <w:tabs>
          <w:tab w:val="left" w:pos="1616"/>
        </w:tabs>
        <w:kinsoku/>
        <w:wordWrap/>
        <w:overflowPunct/>
        <w:topLinePunct w:val="0"/>
        <w:autoSpaceDE/>
        <w:autoSpaceDN/>
        <w:bidi w:val="0"/>
        <w:adjustRightInd/>
        <w:snapToGrid/>
        <w:spacing w:line="600" w:lineRule="exact"/>
        <w:ind w:right="0" w:firstLine="640"/>
        <w:jc w:val="both"/>
        <w:textAlignment w:val="auto"/>
        <w:rPr>
          <w:szCs w:val="32"/>
        </w:rPr>
      </w:pPr>
      <w:r>
        <w:rPr>
          <w:rFonts w:hint="eastAsia" w:ascii="仿宋_GB2312"/>
          <w:sz w:val="32"/>
          <w:szCs w:val="32"/>
          <w:lang w:val="en-US" w:eastAsia="zh-CN"/>
        </w:rPr>
        <w:t>8.</w:t>
      </w:r>
      <w:r>
        <w:rPr>
          <w:spacing w:val="-1"/>
          <w:szCs w:val="32"/>
        </w:rPr>
        <w:t>文化旅游体育与传媒</w:t>
      </w:r>
      <w:r>
        <w:rPr>
          <w:szCs w:val="32"/>
        </w:rPr>
        <w:t>（类</w:t>
      </w:r>
      <w:r>
        <w:rPr>
          <w:spacing w:val="-4"/>
          <w:szCs w:val="32"/>
        </w:rPr>
        <w:t>）</w:t>
      </w:r>
      <w:r>
        <w:rPr>
          <w:spacing w:val="-2"/>
          <w:szCs w:val="32"/>
        </w:rPr>
        <w:t>文物</w:t>
      </w:r>
      <w:r>
        <w:rPr>
          <w:szCs w:val="32"/>
        </w:rPr>
        <w:t>（款</w:t>
      </w:r>
      <w:r>
        <w:rPr>
          <w:spacing w:val="-4"/>
          <w:szCs w:val="32"/>
        </w:rPr>
        <w:t>）</w:t>
      </w:r>
      <w:r>
        <w:rPr>
          <w:spacing w:val="-1"/>
          <w:szCs w:val="32"/>
        </w:rPr>
        <w:t>文物保护</w:t>
      </w:r>
      <w:r>
        <w:rPr>
          <w:szCs w:val="32"/>
        </w:rPr>
        <w:t>（项</w:t>
      </w:r>
      <w:r>
        <w:rPr>
          <w:spacing w:val="-10"/>
          <w:szCs w:val="32"/>
        </w:rPr>
        <w:t>）：</w:t>
      </w:r>
      <w:r>
        <w:rPr>
          <w:szCs w:val="32"/>
        </w:rPr>
        <w:t>指开展文物保护方面的支出。</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szCs w:val="32"/>
        </w:rPr>
      </w:pPr>
      <w:r>
        <w:rPr>
          <w:rFonts w:hint="eastAsia" w:ascii="仿宋_GB2312"/>
          <w:color w:val="000000"/>
          <w:szCs w:val="32"/>
          <w:lang w:val="en-US" w:eastAsia="zh-CN"/>
        </w:rPr>
        <w:t>9.</w:t>
      </w:r>
      <w:r>
        <w:rPr>
          <w:spacing w:val="5"/>
          <w:szCs w:val="32"/>
        </w:rPr>
        <w:t xml:space="preserve">文化旅游体育与传媒（类）文物（款）博物馆（项）： </w:t>
      </w:r>
      <w:r>
        <w:rPr>
          <w:szCs w:val="32"/>
        </w:rPr>
        <w:t>指博物馆工资福利支出、办公费等公用经费及业务方面支出。</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b w:val="0"/>
          <w:bCs/>
          <w:sz w:val="32"/>
          <w:szCs w:val="32"/>
          <w:highlight w:val="yellow"/>
        </w:rPr>
      </w:pPr>
      <w:r>
        <w:rPr>
          <w:rFonts w:hint="eastAsia" w:ascii="仿宋_GB2312"/>
          <w:color w:val="000000"/>
          <w:szCs w:val="32"/>
          <w:lang w:val="en-US" w:eastAsia="zh-CN"/>
        </w:rPr>
        <w:t>10</w:t>
      </w:r>
      <w:r>
        <w:rPr>
          <w:rFonts w:ascii="仿宋_GB2312"/>
          <w:color w:val="000000"/>
          <w:szCs w:val="32"/>
        </w:rPr>
        <w:t>.</w:t>
      </w:r>
      <w:r>
        <w:rPr>
          <w:spacing w:val="5"/>
          <w:szCs w:val="32"/>
        </w:rPr>
        <w:t>文化旅游体育与传媒（类）文物（款）历史名城与古迹</w:t>
      </w:r>
      <w:r>
        <w:rPr>
          <w:szCs w:val="32"/>
        </w:rPr>
        <w:t>（项）：指开展历史名城与古迹业务的支出。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6"/>
          <w:rFonts w:hint="eastAsia" w:ascii="仿宋_GB2312" w:hAnsi="仿宋_GB2312" w:eastAsia="仿宋_GB2312" w:cs="仿宋_GB2312"/>
          <w:b w:val="0"/>
          <w:bCs/>
          <w:color w:val="000000"/>
          <w:sz w:val="32"/>
          <w:szCs w:val="32"/>
          <w:highlight w:val="none"/>
          <w:lang w:val="en-US" w:eastAsia="zh-CN"/>
        </w:rPr>
      </w:pPr>
      <w:r>
        <w:rPr>
          <w:rStyle w:val="16"/>
          <w:rFonts w:hint="eastAsia" w:ascii="仿宋_GB2312" w:hAnsi="仿宋_GB2312" w:cs="仿宋_GB2312"/>
          <w:b w:val="0"/>
          <w:bCs/>
          <w:color w:val="000000"/>
          <w:sz w:val="32"/>
          <w:szCs w:val="32"/>
          <w:highlight w:val="none"/>
          <w:lang w:val="en-US" w:eastAsia="zh-CN"/>
        </w:rPr>
        <w:t>11</w:t>
      </w:r>
      <w:r>
        <w:rPr>
          <w:rStyle w:val="16"/>
          <w:rFonts w:hint="eastAsia" w:ascii="仿宋_GB2312" w:hAnsi="仿宋_GB2312" w:eastAsia="仿宋_GB2312" w:cs="仿宋_GB2312"/>
          <w:b w:val="0"/>
          <w:bCs/>
          <w:color w:val="000000"/>
          <w:sz w:val="32"/>
          <w:szCs w:val="32"/>
          <w:highlight w:val="none"/>
        </w:rPr>
        <w:t>.文化旅游体育与传媒（类）其他文化旅游体育与传媒支出（款）文化</w:t>
      </w:r>
      <w:r>
        <w:rPr>
          <w:rStyle w:val="16"/>
          <w:rFonts w:hint="eastAsia" w:ascii="仿宋_GB2312" w:hAnsi="仿宋_GB2312" w:cs="仿宋_GB2312"/>
          <w:b w:val="0"/>
          <w:bCs/>
          <w:color w:val="000000"/>
          <w:sz w:val="32"/>
          <w:szCs w:val="32"/>
          <w:highlight w:val="none"/>
          <w:lang w:eastAsia="zh-CN"/>
        </w:rPr>
        <w:t>产业发展专项支出</w:t>
      </w:r>
      <w:r>
        <w:rPr>
          <w:rStyle w:val="16"/>
          <w:rFonts w:hint="eastAsia" w:ascii="仿宋_GB2312" w:hAnsi="仿宋_GB2312" w:eastAsia="仿宋_GB2312" w:cs="仿宋_GB2312"/>
          <w:b w:val="0"/>
          <w:bCs/>
          <w:color w:val="000000"/>
          <w:sz w:val="32"/>
          <w:szCs w:val="32"/>
          <w:highlight w:val="none"/>
        </w:rPr>
        <w:t>（项）</w:t>
      </w:r>
      <w:r>
        <w:rPr>
          <w:rStyle w:val="16"/>
          <w:rFonts w:hint="eastAsia" w:ascii="仿宋_GB2312" w:hAnsi="仿宋_GB2312" w:cs="仿宋_GB2312"/>
          <w:b w:val="0"/>
          <w:bCs/>
          <w:color w:val="000000"/>
          <w:sz w:val="32"/>
          <w:szCs w:val="32"/>
          <w:highlight w:val="none"/>
          <w:lang w:eastAsia="zh-CN"/>
        </w:rPr>
        <w:t>：</w:t>
      </w:r>
      <w:r>
        <w:rPr>
          <w:rStyle w:val="16"/>
          <w:rFonts w:hint="eastAsia" w:ascii="仿宋_GB2312" w:hAnsi="仿宋_GB2312" w:eastAsia="仿宋_GB2312" w:cs="仿宋_GB2312"/>
          <w:b w:val="0"/>
          <w:bCs/>
          <w:color w:val="000000"/>
          <w:sz w:val="32"/>
          <w:szCs w:val="32"/>
          <w:highlight w:val="none"/>
        </w:rPr>
        <w:t xml:space="preserve"> 支出决算为</w:t>
      </w:r>
      <w:r>
        <w:rPr>
          <w:rStyle w:val="16"/>
          <w:rFonts w:hint="eastAsia" w:ascii="仿宋_GB2312" w:hAnsi="仿宋_GB2312" w:cs="仿宋_GB2312"/>
          <w:b w:val="0"/>
          <w:bCs/>
          <w:color w:val="000000"/>
          <w:sz w:val="32"/>
          <w:szCs w:val="32"/>
          <w:highlight w:val="none"/>
          <w:lang w:val="en-US" w:eastAsia="zh-CN"/>
        </w:rPr>
        <w:t>400.00</w:t>
      </w:r>
      <w:r>
        <w:rPr>
          <w:rStyle w:val="16"/>
          <w:rFonts w:hint="eastAsia" w:ascii="仿宋_GB2312" w:hAnsi="仿宋_GB2312" w:eastAsia="仿宋_GB2312" w:cs="仿宋_GB2312"/>
          <w:b w:val="0"/>
          <w:bCs/>
          <w:color w:val="000000"/>
          <w:sz w:val="32"/>
          <w:szCs w:val="32"/>
          <w:highlight w:val="none"/>
        </w:rPr>
        <w:t>万元，完成预算</w:t>
      </w:r>
      <w:r>
        <w:rPr>
          <w:rStyle w:val="16"/>
          <w:rFonts w:hint="eastAsia" w:ascii="仿宋_GB2312" w:hAnsi="仿宋_GB2312" w:eastAsia="仿宋_GB2312" w:cs="仿宋_GB2312"/>
          <w:b w:val="0"/>
          <w:bCs/>
          <w:color w:val="000000"/>
          <w:sz w:val="32"/>
          <w:szCs w:val="32"/>
          <w:highlight w:val="none"/>
          <w:lang w:val="en-US" w:eastAsia="zh-CN"/>
        </w:rPr>
        <w:t>100</w:t>
      </w:r>
      <w:r>
        <w:rPr>
          <w:rStyle w:val="16"/>
          <w:rFonts w:hint="eastAsia" w:ascii="仿宋_GB2312" w:hAnsi="仿宋_GB2312" w:eastAsia="仿宋_GB2312" w:cs="仿宋_GB2312"/>
          <w:b w:val="0"/>
          <w:bCs/>
          <w:color w:val="000000"/>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color w:val="000000"/>
          <w:szCs w:val="32"/>
        </w:rPr>
      </w:pPr>
      <w:r>
        <w:rPr>
          <w:rFonts w:hint="eastAsia" w:ascii="仿宋_GB2312"/>
          <w:color w:val="000000"/>
          <w:szCs w:val="32"/>
          <w:highlight w:val="none"/>
          <w:lang w:val="en-US" w:eastAsia="zh-CN"/>
        </w:rPr>
        <w:t>12</w:t>
      </w:r>
      <w:r>
        <w:rPr>
          <w:rFonts w:ascii="仿宋_GB2312"/>
          <w:color w:val="000000"/>
          <w:szCs w:val="32"/>
          <w:highlight w:val="none"/>
        </w:rPr>
        <w:t>.</w:t>
      </w:r>
      <w:r>
        <w:rPr>
          <w:spacing w:val="5"/>
          <w:szCs w:val="32"/>
          <w:highlight w:val="none"/>
        </w:rPr>
        <w:t>文化旅游体育与</w:t>
      </w:r>
      <w:r>
        <w:rPr>
          <w:spacing w:val="5"/>
          <w:szCs w:val="32"/>
        </w:rPr>
        <w:t>传媒（类）其他文化体育与传媒支出文</w:t>
      </w:r>
      <w:r>
        <w:rPr>
          <w:spacing w:val="-20"/>
          <w:szCs w:val="32"/>
        </w:rPr>
        <w:t>物</w:t>
      </w:r>
      <w:r>
        <w:rPr>
          <w:szCs w:val="32"/>
        </w:rPr>
        <w:t>（款</w:t>
      </w:r>
      <w:r>
        <w:rPr>
          <w:spacing w:val="-18"/>
          <w:szCs w:val="32"/>
        </w:rPr>
        <w:t>）</w:t>
      </w:r>
      <w:r>
        <w:rPr>
          <w:spacing w:val="-2"/>
          <w:szCs w:val="32"/>
        </w:rPr>
        <w:t>其他文化体育与传媒支出</w:t>
      </w:r>
      <w:r>
        <w:rPr>
          <w:szCs w:val="32"/>
        </w:rPr>
        <w:t>（项</w:t>
      </w:r>
      <w:r>
        <w:rPr>
          <w:spacing w:val="-20"/>
          <w:szCs w:val="32"/>
        </w:rPr>
        <w:t>）</w:t>
      </w:r>
      <w:r>
        <w:rPr>
          <w:spacing w:val="-5"/>
          <w:szCs w:val="32"/>
        </w:rPr>
        <w:t>：指除上述项目以外其他文化体育与传媒方面的支出。</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color w:val="000000"/>
          <w:szCs w:val="32"/>
        </w:rPr>
      </w:pPr>
      <w:r>
        <w:rPr>
          <w:rFonts w:hint="eastAsia" w:ascii="仿宋_GB2312"/>
          <w:color w:val="000000"/>
          <w:szCs w:val="32"/>
          <w:lang w:val="en-US" w:eastAsia="zh-CN"/>
        </w:rPr>
        <w:t>13</w:t>
      </w:r>
      <w:r>
        <w:rPr>
          <w:rFonts w:ascii="仿宋_GB2312"/>
          <w:color w:val="000000"/>
          <w:szCs w:val="32"/>
        </w:rPr>
        <w:t>.</w:t>
      </w:r>
      <w:r>
        <w:rPr>
          <w:rFonts w:hint="eastAsia" w:ascii="仿宋_GB2312"/>
          <w:color w:val="000000"/>
          <w:szCs w:val="32"/>
        </w:rPr>
        <w:t>科学技术（类）科学技术普及（款）其他科学技术普及（项）：指反映除上述项目以外其他用于科学技术普及方面的支出。</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color w:val="000000"/>
          <w:szCs w:val="32"/>
        </w:rPr>
      </w:pPr>
      <w:r>
        <w:rPr>
          <w:rFonts w:ascii="仿宋_GB2312"/>
          <w:color w:val="000000"/>
          <w:szCs w:val="32"/>
        </w:rPr>
        <w:t>1</w:t>
      </w:r>
      <w:r>
        <w:rPr>
          <w:rFonts w:hint="eastAsia" w:ascii="仿宋_GB2312"/>
          <w:color w:val="000000"/>
          <w:szCs w:val="32"/>
          <w:lang w:val="en-US" w:eastAsia="zh-CN"/>
        </w:rPr>
        <w:t>4</w:t>
      </w:r>
      <w:r>
        <w:rPr>
          <w:rFonts w:ascii="仿宋_GB2312"/>
          <w:color w:val="000000"/>
          <w:szCs w:val="32"/>
        </w:rPr>
        <w:t>.</w:t>
      </w:r>
      <w:r>
        <w:rPr>
          <w:rFonts w:hint="eastAsia" w:ascii="仿宋_GB2312"/>
          <w:color w:val="000000"/>
          <w:szCs w:val="32"/>
        </w:rPr>
        <w:t>社会保障和就业（类）行政事业单位养老（款）事业单位离退休（项）：指反映事业单位开支的离退休经费。</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color w:val="000000"/>
          <w:szCs w:val="32"/>
        </w:rPr>
      </w:pPr>
      <w:r>
        <w:rPr>
          <w:rFonts w:ascii="仿宋_GB2312"/>
          <w:color w:val="000000"/>
          <w:szCs w:val="32"/>
        </w:rPr>
        <w:t>1</w:t>
      </w:r>
      <w:r>
        <w:rPr>
          <w:rFonts w:hint="eastAsia" w:ascii="仿宋_GB2312"/>
          <w:color w:val="000000"/>
          <w:szCs w:val="32"/>
          <w:lang w:val="en-US" w:eastAsia="zh-CN"/>
        </w:rPr>
        <w:t>5</w:t>
      </w:r>
      <w:r>
        <w:rPr>
          <w:rFonts w:ascii="仿宋_GB2312"/>
          <w:color w:val="000000"/>
          <w:szCs w:val="32"/>
        </w:rPr>
        <w:t>.</w:t>
      </w:r>
      <w:r>
        <w:rPr>
          <w:rFonts w:hint="eastAsia" w:ascii="仿宋_GB2312"/>
          <w:color w:val="000000"/>
          <w:szCs w:val="32"/>
        </w:rPr>
        <w:t>社会保障和就业（类）行政事业单位养老（款）机关事业单位基本养老保险缴费支出（项）：指反映事业单位实施养老保险制度由单位缴纳的基本养老保险支出。</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color w:val="000000"/>
          <w:szCs w:val="32"/>
        </w:rPr>
      </w:pPr>
      <w:r>
        <w:rPr>
          <w:rFonts w:ascii="仿宋_GB2312"/>
          <w:color w:val="000000"/>
          <w:szCs w:val="32"/>
        </w:rPr>
        <w:t>1</w:t>
      </w:r>
      <w:r>
        <w:rPr>
          <w:rFonts w:hint="eastAsia" w:ascii="仿宋_GB2312"/>
          <w:color w:val="000000"/>
          <w:szCs w:val="32"/>
          <w:lang w:val="en-US" w:eastAsia="zh-CN"/>
        </w:rPr>
        <w:t>6</w:t>
      </w:r>
      <w:r>
        <w:rPr>
          <w:rFonts w:ascii="仿宋_GB2312"/>
          <w:color w:val="000000"/>
          <w:szCs w:val="32"/>
        </w:rPr>
        <w:t>.</w:t>
      </w:r>
      <w:r>
        <w:rPr>
          <w:rFonts w:hint="eastAsia" w:ascii="仿宋_GB2312"/>
          <w:color w:val="000000"/>
          <w:szCs w:val="32"/>
        </w:rPr>
        <w:t>社会保障和就业（类）行政事业单位养老（款）机关事业单位职业年金缴费支出（项）：指反映事业单位实施养老保险制度由单位缴纳的职业年金支出。</w:t>
      </w:r>
    </w:p>
    <w:p>
      <w:pPr>
        <w:pStyle w:val="23"/>
        <w:keepNext w:val="0"/>
        <w:keepLines w:val="0"/>
        <w:pageBreakBefore w:val="0"/>
        <w:widowControl w:val="0"/>
        <w:tabs>
          <w:tab w:val="left" w:pos="1622"/>
        </w:tabs>
        <w:kinsoku/>
        <w:wordWrap/>
        <w:overflowPunct/>
        <w:topLinePunct w:val="0"/>
        <w:autoSpaceDE/>
        <w:autoSpaceDN/>
        <w:bidi w:val="0"/>
        <w:adjustRightInd/>
        <w:snapToGrid/>
        <w:spacing w:line="600" w:lineRule="exact"/>
        <w:ind w:right="0" w:firstLine="640"/>
        <w:jc w:val="both"/>
        <w:textAlignment w:val="auto"/>
        <w:rPr>
          <w:szCs w:val="32"/>
        </w:rPr>
      </w:pPr>
      <w:r>
        <w:rPr>
          <w:rFonts w:ascii="仿宋_GB2312"/>
          <w:color w:val="000000"/>
          <w:szCs w:val="32"/>
        </w:rPr>
        <w:t>1</w:t>
      </w:r>
      <w:r>
        <w:rPr>
          <w:rFonts w:hint="eastAsia" w:ascii="仿宋_GB2312"/>
          <w:color w:val="000000"/>
          <w:szCs w:val="32"/>
          <w:lang w:val="en-US" w:eastAsia="zh-CN"/>
        </w:rPr>
        <w:t>7</w:t>
      </w:r>
      <w:r>
        <w:rPr>
          <w:rFonts w:ascii="仿宋_GB2312"/>
          <w:color w:val="000000"/>
          <w:szCs w:val="32"/>
        </w:rPr>
        <w:t>.</w:t>
      </w:r>
      <w:r>
        <w:rPr>
          <w:spacing w:val="5"/>
          <w:szCs w:val="32"/>
        </w:rPr>
        <w:t>卫生健康支出（类）行政事业单位医疗（款）事业单位</w:t>
      </w:r>
      <w:r>
        <w:rPr>
          <w:szCs w:val="32"/>
        </w:rPr>
        <w:t>医疗（项）：指事业单位用于缴纳单位基本医疗保险支出。</w:t>
      </w:r>
    </w:p>
    <w:p>
      <w:pPr>
        <w:pStyle w:val="23"/>
        <w:keepNext w:val="0"/>
        <w:keepLines w:val="0"/>
        <w:pageBreakBefore w:val="0"/>
        <w:widowControl w:val="0"/>
        <w:tabs>
          <w:tab w:val="left" w:pos="1622"/>
        </w:tabs>
        <w:kinsoku/>
        <w:wordWrap/>
        <w:overflowPunct/>
        <w:topLinePunct w:val="0"/>
        <w:autoSpaceDE/>
        <w:autoSpaceDN/>
        <w:bidi w:val="0"/>
        <w:adjustRightInd/>
        <w:snapToGrid/>
        <w:spacing w:line="600" w:lineRule="exact"/>
        <w:ind w:right="0" w:firstLine="640"/>
        <w:jc w:val="both"/>
        <w:textAlignment w:val="auto"/>
        <w:rPr>
          <w:spacing w:val="5"/>
          <w:szCs w:val="32"/>
        </w:rPr>
      </w:pPr>
      <w:r>
        <w:rPr>
          <w:rFonts w:hint="eastAsia" w:ascii="仿宋_GB2312"/>
          <w:color w:val="000000"/>
          <w:szCs w:val="32"/>
          <w:lang w:val="en-US" w:eastAsia="zh-CN"/>
        </w:rPr>
        <w:t>18</w:t>
      </w:r>
      <w:r>
        <w:rPr>
          <w:rFonts w:ascii="仿宋_GB2312"/>
          <w:color w:val="000000"/>
          <w:szCs w:val="32"/>
        </w:rPr>
        <w:t>.</w:t>
      </w:r>
      <w:r>
        <w:rPr>
          <w:spacing w:val="5"/>
          <w:szCs w:val="32"/>
        </w:rPr>
        <w:t>住房保障支出（类）住房改革支出（款）住房公积金（项）：指行政事业单位按照人力资源和社会保障部、财政部规定的基本工资和津贴补贴以及规定</w:t>
      </w:r>
      <w:r>
        <w:rPr>
          <w:rFonts w:hint="eastAsia"/>
          <w:spacing w:val="5"/>
          <w:szCs w:val="32"/>
          <w:lang w:eastAsia="zh-CN"/>
        </w:rPr>
        <w:t>比例</w:t>
      </w:r>
      <w:r>
        <w:rPr>
          <w:spacing w:val="5"/>
          <w:szCs w:val="32"/>
        </w:rPr>
        <w:t>为职工缴纳的住房公积金。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8"/>
          <w:rFonts w:hint="eastAsia" w:ascii="黑体" w:hAnsi="黑体" w:eastAsia="黑体"/>
          <w:b w:val="0"/>
        </w:rPr>
      </w:pPr>
      <w:r>
        <w:rPr>
          <w:rFonts w:ascii="宋体"/>
          <w:b/>
          <w:color w:val="000000"/>
          <w:sz w:val="44"/>
          <w:szCs w:val="44"/>
        </w:rPr>
        <w:br w:type="page"/>
      </w:r>
      <w:bookmarkStart w:id="63" w:name="_Toc15396614"/>
      <w:bookmarkStart w:id="64" w:name="_Toc23450"/>
      <w:r>
        <w:rPr>
          <w:rFonts w:hint="eastAsia" w:ascii="黑体" w:hAnsi="黑体" w:eastAsia="黑体"/>
          <w:color w:val="000000"/>
          <w:sz w:val="44"/>
          <w:szCs w:val="44"/>
        </w:rPr>
        <w:t>第</w:t>
      </w:r>
      <w:r>
        <w:rPr>
          <w:rStyle w:val="18"/>
          <w:rFonts w:hint="eastAsia" w:ascii="黑体" w:hAnsi="黑体" w:eastAsia="黑体"/>
          <w:b w:val="0"/>
        </w:rPr>
        <w:t>四部分</w:t>
      </w:r>
      <w:r>
        <w:rPr>
          <w:rStyle w:val="18"/>
          <w:rFonts w:ascii="黑体" w:hAnsi="黑体" w:eastAsia="黑体"/>
          <w:b w:val="0"/>
        </w:rPr>
        <w:t xml:space="preserve"> </w:t>
      </w:r>
      <w:r>
        <w:rPr>
          <w:rStyle w:val="18"/>
          <w:rFonts w:hint="eastAsia" w:ascii="黑体" w:hAnsi="黑体" w:eastAsia="黑体"/>
          <w:b w:val="0"/>
        </w:rPr>
        <w:t>附件</w:t>
      </w:r>
      <w:bookmarkEnd w:id="63"/>
      <w:bookmarkEnd w:id="64"/>
    </w:p>
    <w:tbl>
      <w:tblPr>
        <w:tblStyle w:val="14"/>
        <w:tblpPr w:leftFromText="180" w:rightFromText="180" w:vertAnchor="text" w:horzAnchor="page" w:tblpXSpec="center" w:tblpY="574"/>
        <w:tblOverlap w:val="never"/>
        <w:tblW w:w="11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961"/>
        <w:gridCol w:w="1734"/>
        <w:gridCol w:w="2032"/>
        <w:gridCol w:w="491"/>
        <w:gridCol w:w="536"/>
        <w:gridCol w:w="376"/>
        <w:gridCol w:w="2362"/>
        <w:gridCol w:w="503"/>
        <w:gridCol w:w="548"/>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4" w:hRule="atLeast"/>
          <w:jc w:val="center"/>
        </w:trPr>
        <w:tc>
          <w:tcPr>
            <w:tcW w:w="115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98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51030022T000000324013</w:t>
            </w:r>
            <w:r>
              <w:rPr>
                <w:rFonts w:hint="eastAsia" w:ascii="宋体" w:hAnsi="宋体" w:eastAsia="宋体" w:cs="宋体"/>
                <w:i w:val="0"/>
                <w:iCs w:val="0"/>
                <w:color w:val="000000"/>
                <w:kern w:val="0"/>
                <w:sz w:val="16"/>
                <w:szCs w:val="16"/>
                <w:u w:val="none"/>
                <w:lang w:val="en-US" w:eastAsia="zh-CN" w:bidi="ar"/>
              </w:rPr>
              <w:t>－</w:t>
            </w:r>
            <w:r>
              <w:rPr>
                <w:rFonts w:ascii="宋体" w:hAnsi="宋体" w:eastAsia="宋体" w:cs="宋体"/>
                <w:i w:val="0"/>
                <w:iCs w:val="0"/>
                <w:color w:val="000000"/>
                <w:kern w:val="0"/>
                <w:sz w:val="16"/>
                <w:szCs w:val="16"/>
                <w:u w:val="none"/>
                <w:lang w:val="en-US" w:eastAsia="zh-CN" w:bidi="ar"/>
              </w:rPr>
              <w:t>自贡恐龙博物馆陈列展览运行项目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51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自贡市文化广播电视和旅游局部门</w:t>
            </w:r>
          </w:p>
        </w:tc>
        <w:tc>
          <w:tcPr>
            <w:tcW w:w="23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3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自贡恐龙博物馆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51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47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保障博物馆的日常运行及对外开放，有序</w:t>
            </w:r>
            <w:r>
              <w:rPr>
                <w:rFonts w:hint="eastAsia" w:ascii="宋体" w:hAnsi="宋体" w:eastAsia="宋体" w:cs="宋体"/>
                <w:i w:val="0"/>
                <w:iCs w:val="0"/>
                <w:color w:val="000000"/>
                <w:kern w:val="0"/>
                <w:sz w:val="16"/>
                <w:szCs w:val="16"/>
                <w:u w:val="none"/>
                <w:lang w:val="en-US" w:eastAsia="zh-CN" w:bidi="ar"/>
              </w:rPr>
              <w:t>地</w:t>
            </w:r>
            <w:r>
              <w:rPr>
                <w:rFonts w:ascii="宋体" w:hAnsi="宋体" w:eastAsia="宋体" w:cs="宋体"/>
                <w:i w:val="0"/>
                <w:iCs w:val="0"/>
                <w:color w:val="000000"/>
                <w:kern w:val="0"/>
                <w:sz w:val="16"/>
                <w:szCs w:val="16"/>
                <w:u w:val="none"/>
                <w:lang w:val="en-US" w:eastAsia="zh-CN" w:bidi="ar"/>
              </w:rPr>
              <w:t>开展科研、科普展览等开放活动，推广恐龙活动，推进博物馆事业发展</w:t>
            </w:r>
          </w:p>
        </w:tc>
        <w:tc>
          <w:tcPr>
            <w:tcW w:w="47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博物馆全年开放天数363天，开展科普教育活动12类，有序推动博物馆事业发展。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98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保证场馆运行，做好游客服务工作，开展科普教育活动，为游客提供更好的游览体验，为青少年创造更好的科普教育氛围。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2,200.00</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1,307.62</w:t>
            </w:r>
          </w:p>
        </w:tc>
        <w:tc>
          <w:tcPr>
            <w:tcW w:w="1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1,307.62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2,200.00</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1,307.62</w:t>
            </w:r>
          </w:p>
        </w:tc>
        <w:tc>
          <w:tcPr>
            <w:tcW w:w="1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1,307.62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开展科普科教活动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场次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12场次</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31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2022年接待游客数量</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万人次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49.24万人次</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5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受新冠肺炎疫情影响，零星观众和学生团队大幅度减少。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博物馆全年开放天数</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360</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天</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363天</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31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讲解服务人员培训合格率</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15</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博物馆应急事件及时响应率</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经济效益指标</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实现门票收入</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1800</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万元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1121.29</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15</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9.34 </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社会效益指标</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开展科普科教活动，宣传恐龙文化知识，提升我馆知名度</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好坏</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好。在疫情形势下，我馆积极探索，创新科普形式，充分发挥博物馆社会教育职能。除常态化开展常规科普活动外，积极策划线上科普活动，如线上观展，恐龙云课堂等。同时，创新开发自助研学模式，推出“科考小侦探之恐龙事件”自助研学包，既解决了疫情形势下无法开展大规模研学课程的问题，又满足了以家庭为单位观众的研学需求。线上线下科普相结合的创新型科普模式，既向公众科普了恐龙知识，又不断提升了我馆知名度，受到了公众的一致好评。</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服务对象满意度指标</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游客满意度</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85</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1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5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5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89.52 </w:t>
            </w:r>
          </w:p>
        </w:tc>
        <w:tc>
          <w:tcPr>
            <w:tcW w:w="1315"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10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本年度自评得分89.52分。</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2022年受疫情影响较大，游客量、门票收入锐减。但仍克服困难保障了博物馆的正常运行及对外开放，有序地开展科研、科普展览等活动，充分发挥博物馆社会教育职能，除常态化开展常规科普活动外，积极策划线上科普活动，推进了博物馆事业发展。线上线下科普相结合的创新型科普模式，既向公众科普了恐龙知识，又不断提升了我馆知名度，受到了公众的一致好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10858"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博物馆受疫情冲击较大，收入锐减后部分发展业务推后，缺乏线下参观模式转换至线上参观的方式的有力推广，文物活化有待加强。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10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我馆将注重多形式下博物馆抗风险能力的培养，坚持政策导向，坚持组织领导，坚持旅游业理论和人才支撑，坚持博物馆服务水平高质量发展，提高科研能力等业务水平。加大向上资金力度，为博物馆事业蓬勃发展获得有利资源。加强线上多平台宣传推广，探索多形式的、灵活的参观模式，为新时代博物馆的发展提供更多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项目负责人：李飚</w:t>
            </w:r>
          </w:p>
        </w:tc>
        <w:tc>
          <w:tcPr>
            <w:tcW w:w="5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财务负责人：李飚</w:t>
            </w:r>
          </w:p>
        </w:tc>
      </w:tr>
    </w:tbl>
    <w:p>
      <w:pPr>
        <w:pStyle w:val="6"/>
        <w:rPr>
          <w:sz w:val="36"/>
          <w:szCs w:val="36"/>
        </w:rPr>
      </w:pPr>
    </w:p>
    <w:p>
      <w:pPr>
        <w:keepNext w:val="0"/>
        <w:keepLines w:val="0"/>
        <w:pageBreakBefore w:val="0"/>
        <w:widowControl/>
        <w:kinsoku/>
        <w:wordWrap/>
        <w:overflowPunct/>
        <w:topLinePunct w:val="0"/>
        <w:autoSpaceDE/>
        <w:autoSpaceDN/>
        <w:bidi w:val="0"/>
        <w:adjustRightInd w:val="0"/>
        <w:snapToGrid w:val="0"/>
        <w:spacing w:line="560" w:lineRule="exact"/>
        <w:contextualSpacing/>
        <w:jc w:val="both"/>
        <w:textAlignment w:val="auto"/>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contextualSpacing/>
        <w:jc w:val="left"/>
        <w:textAlignment w:val="auto"/>
        <w:rPr>
          <w:rFonts w:hint="eastAsia" w:ascii="黑体" w:hAnsi="黑体" w:eastAsia="黑体" w:cs="黑体"/>
          <w:color w:val="000000"/>
          <w:kern w:val="0"/>
          <w:sz w:val="32"/>
          <w:szCs w:val="32"/>
          <w:highlight w:val="none"/>
          <w:shd w:val="clear" w:color="auto" w:fill="FFFFFF"/>
          <w:lang w:val="en-US" w:eastAsia="zh-CN"/>
        </w:rPr>
      </w:pPr>
      <w:bookmarkStart w:id="65" w:name="_Toc15396618"/>
    </w:p>
    <w:p>
      <w:pPr>
        <w:keepNext w:val="0"/>
        <w:keepLines w:val="0"/>
        <w:pageBreakBefore w:val="0"/>
        <w:widowControl/>
        <w:kinsoku/>
        <w:wordWrap/>
        <w:overflowPunct/>
        <w:topLinePunct w:val="0"/>
        <w:autoSpaceDE/>
        <w:autoSpaceDN/>
        <w:bidi w:val="0"/>
        <w:adjustRightInd w:val="0"/>
        <w:snapToGrid w:val="0"/>
        <w:spacing w:line="560" w:lineRule="exact"/>
        <w:contextualSpacing/>
        <w:jc w:val="left"/>
        <w:textAlignment w:val="auto"/>
        <w:rPr>
          <w:rFonts w:hint="eastAsia" w:ascii="黑体" w:hAnsi="黑体" w:eastAsia="黑体" w:cs="黑体"/>
          <w:color w:val="000000"/>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contextualSpacing/>
        <w:jc w:val="left"/>
        <w:textAlignment w:val="auto"/>
        <w:rPr>
          <w:rFonts w:hint="eastAsia" w:ascii="黑体" w:hAnsi="黑体" w:eastAsia="黑体" w:cs="黑体"/>
          <w:color w:val="000000"/>
          <w:kern w:val="0"/>
          <w:sz w:val="32"/>
          <w:szCs w:val="32"/>
          <w:highlight w:val="none"/>
          <w:shd w:val="clear" w:color="auto" w:fill="FFFFFF"/>
          <w:lang w:val="en-US" w:eastAsia="zh-CN"/>
        </w:rPr>
      </w:pPr>
    </w:p>
    <w:tbl>
      <w:tblPr>
        <w:tblStyle w:val="14"/>
        <w:tblpPr w:leftFromText="180" w:rightFromText="180" w:vertAnchor="text" w:horzAnchor="page" w:tblpXSpec="center" w:tblpY="397"/>
        <w:tblOverlap w:val="never"/>
        <w:tblW w:w="11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959"/>
        <w:gridCol w:w="1709"/>
        <w:gridCol w:w="2023"/>
        <w:gridCol w:w="490"/>
        <w:gridCol w:w="576"/>
        <w:gridCol w:w="396"/>
        <w:gridCol w:w="2346"/>
        <w:gridCol w:w="504"/>
        <w:gridCol w:w="794"/>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15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8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51030022T000000324070</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自贡恐龙博物馆二号馆科普展示工程项目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自贡市文化广播电视和旅游局部门</w:t>
            </w:r>
          </w:p>
        </w:tc>
        <w:tc>
          <w:tcPr>
            <w:tcW w:w="23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自贡恐龙博物馆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8"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对2930平方米含化石遗址和地质剖面的二号馆实施科普展示工程建设，新增环保、卫生、休息、</w:t>
            </w:r>
            <w:r>
              <w:rPr>
                <w:rFonts w:hint="eastAsia" w:ascii="宋体" w:hAnsi="宋体" w:eastAsia="宋体" w:cs="宋体"/>
                <w:i w:val="0"/>
                <w:iCs w:val="0"/>
                <w:color w:val="000000"/>
                <w:kern w:val="0"/>
                <w:sz w:val="18"/>
                <w:szCs w:val="18"/>
                <w:u w:val="none"/>
                <w:lang w:val="en-US" w:eastAsia="zh-CN" w:bidi="ar"/>
              </w:rPr>
              <w:t>网络</w:t>
            </w:r>
            <w:r>
              <w:rPr>
                <w:rFonts w:ascii="宋体" w:hAnsi="宋体" w:eastAsia="宋体" w:cs="宋体"/>
                <w:i w:val="0"/>
                <w:iCs w:val="0"/>
                <w:color w:val="000000"/>
                <w:kern w:val="0"/>
                <w:sz w:val="18"/>
                <w:szCs w:val="18"/>
                <w:u w:val="none"/>
                <w:lang w:val="en-US" w:eastAsia="zh-CN" w:bidi="ar"/>
              </w:rPr>
              <w:t>、儿童服务等设施设备，更好</w:t>
            </w:r>
            <w:r>
              <w:rPr>
                <w:rFonts w:hint="eastAsia" w:ascii="宋体" w:hAnsi="宋体" w:eastAsia="宋体" w:cs="宋体"/>
                <w:i w:val="0"/>
                <w:iCs w:val="0"/>
                <w:color w:val="000000"/>
                <w:kern w:val="0"/>
                <w:sz w:val="18"/>
                <w:szCs w:val="18"/>
                <w:u w:val="none"/>
                <w:lang w:val="en-US" w:eastAsia="zh-CN" w:bidi="ar"/>
              </w:rPr>
              <w:t>地</w:t>
            </w:r>
            <w:r>
              <w:rPr>
                <w:rFonts w:ascii="宋体" w:hAnsi="宋体" w:eastAsia="宋体" w:cs="宋体"/>
                <w:i w:val="0"/>
                <w:iCs w:val="0"/>
                <w:color w:val="000000"/>
                <w:kern w:val="0"/>
                <w:sz w:val="18"/>
                <w:szCs w:val="18"/>
                <w:u w:val="none"/>
                <w:lang w:val="en-US" w:eastAsia="zh-CN" w:bidi="ar"/>
              </w:rPr>
              <w:t>宣传自贡恐龙文化，为游客提供更好科普服务。</w:t>
            </w:r>
          </w:p>
        </w:tc>
        <w:tc>
          <w:tcPr>
            <w:tcW w:w="4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完成展陈面积2930平方米，改造公务服务场所面积479平方米，新增户外公共空间面积1500平方米，完成了环保、卫生、休息、</w:t>
            </w:r>
            <w:r>
              <w:rPr>
                <w:rFonts w:hint="eastAsia" w:ascii="宋体" w:hAnsi="宋体" w:eastAsia="宋体" w:cs="宋体"/>
                <w:i w:val="0"/>
                <w:iCs w:val="0"/>
                <w:color w:val="000000"/>
                <w:kern w:val="0"/>
                <w:sz w:val="18"/>
                <w:szCs w:val="18"/>
                <w:u w:val="none"/>
                <w:lang w:val="en-US" w:eastAsia="zh-CN" w:bidi="ar"/>
              </w:rPr>
              <w:t>网络</w:t>
            </w:r>
            <w:r>
              <w:rPr>
                <w:rFonts w:ascii="宋体" w:hAnsi="宋体" w:eastAsia="宋体" w:cs="宋体"/>
                <w:i w:val="0"/>
                <w:iCs w:val="0"/>
                <w:color w:val="000000"/>
                <w:kern w:val="0"/>
                <w:sz w:val="18"/>
                <w:szCs w:val="18"/>
                <w:u w:val="none"/>
                <w:lang w:val="en-US" w:eastAsia="zh-CN" w:bidi="ar"/>
              </w:rPr>
              <w:t>、儿童服务等设施设备，建设完成游览电梯和无障碍设施。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项目对2930平方米含化石遗址和地质剖面的二号馆实施科普展示工程建设，新增环保、卫生、休息、</w:t>
            </w:r>
            <w:r>
              <w:rPr>
                <w:rFonts w:hint="eastAsia" w:ascii="宋体" w:hAnsi="宋体" w:eastAsia="宋体" w:cs="宋体"/>
                <w:i w:val="0"/>
                <w:iCs w:val="0"/>
                <w:color w:val="000000"/>
                <w:kern w:val="0"/>
                <w:sz w:val="18"/>
                <w:szCs w:val="18"/>
                <w:u w:val="none"/>
                <w:lang w:val="en-US" w:eastAsia="zh-CN" w:bidi="ar"/>
              </w:rPr>
              <w:t>网络</w:t>
            </w:r>
            <w:r>
              <w:rPr>
                <w:rFonts w:ascii="宋体" w:hAnsi="宋体" w:eastAsia="宋体" w:cs="宋体"/>
                <w:i w:val="0"/>
                <w:iCs w:val="0"/>
                <w:color w:val="000000"/>
                <w:kern w:val="0"/>
                <w:sz w:val="18"/>
                <w:szCs w:val="18"/>
                <w:u w:val="none"/>
                <w:lang w:val="en-US" w:eastAsia="zh-CN" w:bidi="ar"/>
              </w:rPr>
              <w:t>、儿童服务等设施设备，建设游览电梯和无障碍设施项目。</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项目于2021年进行公开招投标，由广东省集美设计工程有限公司中标，经过前期深化设计阶段，于2022年4月正式进场开始施工，在经历疫情、高温、限电等不利因素的情况下，于2022年11月底完工并进行主体竣工验收，二号馆于2023年元旦对外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1,364.38</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1,364.38</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1,364.38</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1,364.38</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建设游览电梯和无障碍设施项目</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完成展陈面积</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2930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改造公务服务场所面积</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479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新增户外公共空间面积</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卫生、休息、</w:t>
            </w:r>
            <w:r>
              <w:rPr>
                <w:rFonts w:hint="eastAsia" w:ascii="宋体" w:hAnsi="宋体" w:eastAsia="宋体" w:cs="宋体"/>
                <w:i w:val="0"/>
                <w:iCs w:val="0"/>
                <w:color w:val="000000"/>
                <w:kern w:val="0"/>
                <w:sz w:val="18"/>
                <w:szCs w:val="18"/>
                <w:u w:val="none"/>
                <w:lang w:val="en-US" w:eastAsia="zh-CN" w:bidi="ar"/>
              </w:rPr>
              <w:t>网络</w:t>
            </w:r>
            <w:r>
              <w:rPr>
                <w:rFonts w:ascii="宋体" w:hAnsi="宋体" w:eastAsia="宋体" w:cs="宋体"/>
                <w:i w:val="0"/>
                <w:iCs w:val="0"/>
                <w:color w:val="000000"/>
                <w:kern w:val="0"/>
                <w:sz w:val="18"/>
                <w:szCs w:val="18"/>
                <w:u w:val="none"/>
                <w:lang w:val="en-US" w:eastAsia="zh-CN" w:bidi="ar"/>
              </w:rPr>
              <w:t>、儿童服务等设施设备严格合格率</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分部分项工程验收合格率</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项目投入使用后，实现门票收入年增长</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2号馆投入使用后，新增展陈面积2930平方米，更好宣传科普自贡恐龙文化</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优。新增展陈面积2930平方米，发布重点宣传稿件40余篇，开展科普教育活动54场次，直接受众17.3万人次，很好地宣传了自贡恐龙文化。</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展陈设施使用年限</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游客满意度</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1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项目经自评获得总分100分，均按照绩效指标完成。</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二号馆从2023年元旦试运行以来，已接待游客超一百万人次，获得了游客一致好评。并受到重要媒体宣传报告，发布重点稿件40余篇；开展教育活动54场次，直接受众17.3万人次；二号馆基本陈列《岩石上的巨兽时代》参与了2022年度四川省博物馆十大陈列展览的角逐，荣获了2022年度四川省博物馆十大陈列展览精品奖；地质剖面多功能场景荣获2022年度四川省博物馆“数字文物创新应用优秀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项目负责人：李飚</w:t>
            </w:r>
          </w:p>
        </w:tc>
        <w:tc>
          <w:tcPr>
            <w:tcW w:w="56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财务负责人：李飚</w:t>
            </w:r>
          </w:p>
        </w:tc>
      </w:tr>
    </w:tbl>
    <w:tbl>
      <w:tblPr>
        <w:tblStyle w:val="14"/>
        <w:tblpPr w:leftFromText="180" w:rightFromText="180" w:vertAnchor="text" w:horzAnchor="page" w:tblpXSpec="center" w:tblpY="91"/>
        <w:tblOverlap w:val="never"/>
        <w:tblW w:w="11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960"/>
        <w:gridCol w:w="1717"/>
        <w:gridCol w:w="2012"/>
        <w:gridCol w:w="491"/>
        <w:gridCol w:w="576"/>
        <w:gridCol w:w="396"/>
        <w:gridCol w:w="2351"/>
        <w:gridCol w:w="504"/>
        <w:gridCol w:w="790"/>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115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8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51030022T000000324102</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自贡恐龙博物馆恐龙主题研学课程开发项目（市文旅专项）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自贡市文化广播电视和旅游局</w:t>
            </w:r>
          </w:p>
        </w:tc>
        <w:tc>
          <w:tcPr>
            <w:tcW w:w="235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自贡恐龙博物馆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1、深入挖掘恐龙及相关资源；2、整合目前馆内研学活动项目；3、引入专业团队进行研学课程开发；4、验收课程，丰富博物馆研学资源。</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与自贡市教育部门，自贡春秋旅行社合作，在预算范围内，成功开发系统的研学课程两门，配套教案、教具及研学手册完善。经组织多方专家进行验收，课程合格，可以投入正常使用。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自贡恐龙博物馆依托馆藏资源，积极与自贡市教育部门、自贡市春秋旅行社合作，成立专业团队，在预算范围内，开发设计以“古生物学家的一天之恐龙装架</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古生物学家的一天之化石发掘”为主题的研学课程、配套研学手册及教具。课程适配学龄涵盖了小学、初中及高中各阶段。自贡恐龙博物馆对项目进行有效管理、组织验收，使整个项目按时、按质、按标准完成。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开发研学课程数量</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课程评审合格率</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完成课程设计并投入使用时间</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课程影响年限</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青少年满意度</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项目综合评分98分、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通过项目实施，在规定的时间及预算范围内，成功开发研学课程两门。经过博物馆专家、教育部门及研学机构的综合验收，一致认为课程合格，可以投入使用。课程将博物馆馆藏资源与学校教材紧密结合，真正做到了研学课程作为校外知识的拓展与延伸。课程覆盖面广泛，包含了小学、初中及高中各年龄段，影响年限大于3年以上。一经推出，受到广大青少年及学校老师们的一致好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而受到博物馆场地及条件限制，目前每次课程受众人数不超过五十人，属于小规模精品班课程。在博物馆短停时间短、规模较大的研学团队无法开展此课程。2.为了确保研学课程质量，课程实施前，根据参与研学不同年龄段孩子们的特点，博物馆需要进行不同类型的现场前置课程授课，目前博物馆科普研学导师数量较少，无法满足前置课程授课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目前博物馆将继续扩大研学场地，恐龙探秘馆研学教室即将投入使用，以满足不同类型的研学团体的研学需求。3.与学校或研学机构合作，加大人才培养力度，开展专业培训，使学校老师或机构导师成为研学前置课程授课导师。同时，优化前置课程设计，采取视频或云课堂的方式进行前置课程授课，满足前置课程授课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8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项目负责人：周瑜昆</w:t>
            </w:r>
          </w:p>
        </w:tc>
        <w:tc>
          <w:tcPr>
            <w:tcW w:w="5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财务负责人：李飚</w:t>
            </w:r>
          </w:p>
        </w:tc>
      </w:tr>
    </w:tbl>
    <w:p>
      <w:pPr>
        <w:rPr>
          <w:rFonts w:hint="eastAsia" w:ascii="黑体" w:hAnsi="黑体" w:eastAsia="黑体"/>
          <w:color w:val="000000"/>
          <w:sz w:val="44"/>
          <w:szCs w:val="44"/>
        </w:rPr>
      </w:pPr>
    </w:p>
    <w:p>
      <w:pPr>
        <w:rPr>
          <w:rFonts w:hint="eastAsia" w:ascii="黑体" w:hAnsi="黑体" w:eastAsia="黑体"/>
          <w:color w:val="000000"/>
          <w:sz w:val="44"/>
          <w:szCs w:val="44"/>
        </w:rPr>
      </w:pPr>
      <w:r>
        <w:rPr>
          <w:rFonts w:hint="eastAsia" w:ascii="黑体" w:hAnsi="黑体" w:eastAsia="黑体"/>
          <w:color w:val="000000"/>
          <w:sz w:val="44"/>
          <w:szCs w:val="44"/>
        </w:rPr>
        <w:br w:type="page"/>
      </w:r>
    </w:p>
    <w:tbl>
      <w:tblPr>
        <w:tblStyle w:val="14"/>
        <w:tblW w:w="11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3"/>
        <w:gridCol w:w="941"/>
        <w:gridCol w:w="1657"/>
        <w:gridCol w:w="1956"/>
        <w:gridCol w:w="486"/>
        <w:gridCol w:w="486"/>
        <w:gridCol w:w="396"/>
        <w:gridCol w:w="2278"/>
        <w:gridCol w:w="503"/>
        <w:gridCol w:w="772"/>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15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51030022T000000351586-2021年国家文物保护专项资金数字保护及展示利用方案项目（中省结转项目）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自贡市文化广播电视和旅游局部门</w:t>
            </w:r>
          </w:p>
        </w:tc>
        <w:tc>
          <w:tcPr>
            <w:tcW w:w="243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自贡恐龙博物馆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（一）本项目藏品信息资源数字化建设包括：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完成藏品三维数据扫描采集，分别对14架恐龙骨架、40件古生物标本、200件恐龙骨骼化石和中央大厅遗址区进行了数字化采集、加工和存储。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（二）本项目馆藏信息综合管理系统建设包括：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完成藏品管理子系统和数字资源管理子系统各1套。</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（三）本项目青少年科普教育系统建设包括：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完成互动小程序开发1套，同时完成研学科普课程设计制作1套</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5个课程）。</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（四）本项目数字创意展项包括：</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完成恐龙数字科普长廊系统1套；恐龙世界大厅数字化解释说明系统9套；遗址发掘现场数字化解释说明系统3套。</w:t>
            </w:r>
          </w:p>
        </w:tc>
        <w:tc>
          <w:tcPr>
            <w:tcW w:w="4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目前完成情况如下：</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恐龙骨架三维采现场集完成14具。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2）古生物标本三维现场采集完成40件。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3）恐龙骨骼化石三维现场采集完成200件。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4）中央大厅遗址区现场三维数据采集完成；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5）藏品管理信息中和管理系统完成初版建设，开始试用。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6）青少年科普教育系统互动小程序完成方案设计正在开发，科普课程完成1课程制作。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7）恐龙数字科普长廊系统完成初版设计方案，需要进一步优化改进。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8）恐龙世界大厅数字化解释说明系统完成初版设计方案，需要进一步优化改进。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9）遗址发掘现场数字化解释说明系统完成初版设计方案。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按照政府采购相关规定，本项目需分为“自贡恐龙博物馆文物数字化保护及展示利用项目”，财评控制价334.54万元；以及“自贡恐龙博物馆文物数字化保护及展示利用项目配套硬件采购项目”，财评控制价30.58万元。项目资金来源为国保专项补助资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目前，此项目已完成所有招标工作，进度款支付至第二笔。前期因为疫情、投诉处理、政府采购系统升级而延后。“自贡恐龙博物馆文物数字化保护及展示利用项目”中标公司是广州欧科信息技术股份有限公司，“自贡恐龙博物馆文物数字化保护及展示利用项目配套硬件采购项目”中标公司是四川万信通信息技术服务有限公司，因项目中标公司到自贡后多次被隔离时间耽搁。另外，项目执行中恐龙化石扫描与一般文物扫描不同，复杂程度加剧、耗时更长。下一步我馆将加快项目执行，同时保质保量完成恐龙数字科普长廊系统、恐龙世界大厅数字化解释说明系统、遗址发掘现场数字化解释说明系统、课程教育软件开发等工作。保证在2023年6月之前完成项目所有工作及支付。目前，项目已完成200件恐龙骨骼化石三维采集、40件古生物化石三维采集、14具恐龙骨架三维采集工作、中央大厅遗址区三维采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187.67</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187.67</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187.67</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187.67</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可移动文物保护项目</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全国重点文物保护单位文物保护项目</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安全事故发生率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文物损毁、违规修复发生率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项目按计划完成率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前期因为疫情、投诉处理、政府采购系统升级而延后。“自贡恐龙博物馆文物数字化保护及展示利用项目”中标公司是广州欧科信息技术股份有限公司，“自贡恐龙博物馆文物数字化保护及展示利用项目配套硬件采购项目”中标公司是四川万信通信息技术服务有限公司，因项目中标公司到自贡后多次被隔离时间耽搁。另外，项目执行中恐龙化石扫描与一般文物扫描不同，复杂程度加剧、耗时更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提升文物保护水平与</w:t>
            </w:r>
            <w:r>
              <w:rPr>
                <w:rFonts w:hint="eastAsia" w:ascii="宋体" w:hAnsi="宋体" w:eastAsia="宋体" w:cs="宋体"/>
                <w:i w:val="0"/>
                <w:iCs w:val="0"/>
                <w:color w:val="000000"/>
                <w:kern w:val="0"/>
                <w:sz w:val="18"/>
                <w:szCs w:val="18"/>
                <w:u w:val="none"/>
                <w:lang w:val="en-US" w:eastAsia="zh-CN" w:bidi="ar"/>
              </w:rPr>
              <w:t>全民</w:t>
            </w:r>
            <w:r>
              <w:rPr>
                <w:rFonts w:ascii="宋体" w:hAnsi="宋体" w:eastAsia="宋体" w:cs="宋体"/>
                <w:i w:val="0"/>
                <w:iCs w:val="0"/>
                <w:color w:val="000000"/>
                <w:kern w:val="0"/>
                <w:sz w:val="18"/>
                <w:szCs w:val="18"/>
                <w:u w:val="none"/>
                <w:lang w:val="en-US" w:eastAsia="zh-CN" w:bidi="ar"/>
              </w:rPr>
              <w:t>文物保护意识</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显著</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本项目通过对恐龙化石进行高精度三维扫描后的数字化成果，可以很好</w:t>
            </w:r>
            <w:r>
              <w:rPr>
                <w:rFonts w:hint="eastAsia" w:ascii="宋体" w:hAnsi="宋体" w:eastAsia="宋体" w:cs="宋体"/>
                <w:i w:val="0"/>
                <w:iCs w:val="0"/>
                <w:color w:val="000000"/>
                <w:kern w:val="0"/>
                <w:sz w:val="18"/>
                <w:szCs w:val="18"/>
                <w:u w:val="none"/>
                <w:lang w:val="en-US" w:eastAsia="zh-CN" w:bidi="ar"/>
              </w:rPr>
              <w:t>地</w:t>
            </w:r>
            <w:r>
              <w:rPr>
                <w:rFonts w:ascii="宋体" w:hAnsi="宋体" w:eastAsia="宋体" w:cs="宋体"/>
                <w:i w:val="0"/>
                <w:iCs w:val="0"/>
                <w:color w:val="000000"/>
                <w:kern w:val="0"/>
                <w:sz w:val="18"/>
                <w:szCs w:val="18"/>
                <w:u w:val="none"/>
                <w:lang w:val="en-US" w:eastAsia="zh-CN" w:bidi="ar"/>
              </w:rPr>
              <w:t>起到文物数字化保护的作用，便于对文物进行研究、复制以及科普宣传教育、恐龙的数字化仿真等，从而达到</w:t>
            </w:r>
            <w:r>
              <w:rPr>
                <w:rFonts w:hint="eastAsia" w:ascii="宋体" w:hAnsi="宋体" w:eastAsia="宋体" w:cs="宋体"/>
                <w:i w:val="0"/>
                <w:iCs w:val="0"/>
                <w:color w:val="000000"/>
                <w:kern w:val="0"/>
                <w:sz w:val="18"/>
                <w:szCs w:val="18"/>
                <w:u w:val="none"/>
                <w:lang w:val="en-US" w:eastAsia="zh-CN" w:bidi="ar"/>
              </w:rPr>
              <w:t>增强</w:t>
            </w:r>
            <w:r>
              <w:rPr>
                <w:rFonts w:ascii="宋体" w:hAnsi="宋体" w:eastAsia="宋体" w:cs="宋体"/>
                <w:i w:val="0"/>
                <w:iCs w:val="0"/>
                <w:color w:val="000000"/>
                <w:kern w:val="0"/>
                <w:sz w:val="18"/>
                <w:szCs w:val="18"/>
                <w:u w:val="none"/>
                <w:lang w:val="en-US" w:eastAsia="zh-CN" w:bidi="ar"/>
              </w:rPr>
              <w:t>全民文物保护意识。</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高精度恐龙科普的成果可用于恐龙科普年限</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项目高精度三维扫描后的成果可以用于恐龙科研以及后续的应用开发，如藏品管理、科普教育、动画制作、宣传以及展场多媒体应用等，未来可持续发展显著。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社会公众对重点文物保护满意度</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根据美团评分4.6分计算游客满意度比例（4.6/5=92%）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分为98分，本次对我馆藏品进行三维扫描的设备都是经过国家专业检测机构检测合格的扫描仪进行的三维数据采集，扫描精度都在0.01mm，高于我馆的0.02mm的精度要求，极大地保障了我馆文物数字化的质量。展厅应用部分都是不影响原来展陈设计，与原设计融为一体，信号线、电源线分别穿管隐藏。因我馆恐龙化石的独特性，与其他文物有着很大的区别，在进行化石三维扫描时难度很大，有些恐龙个体非常大，带来扫描大型个体骨骼的难度也非常大，扫描最终单个骨骼还要在电脑里按照原来整体扫描的骨架数据原装位进行拼接组装。我馆的扫描要求又非常高，最终还是克服困难保质保量地完成了我馆文物数字化保护这一重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前期因为疫情、投诉处理、政府采购系统升级而延后。“自贡恐龙博物馆文物数字化保护及展示利用项目”中标公司是广州欧科信息技术股份有限公司，“自贡恐龙博物馆文物数字化保护及展示利用项目配套硬件采购项目”中标公司是四川万信通信息技术服务有限公司，因项目中标公司到自贡后多次被隔离时间耽搁。另外，项目执行中恐龙化石扫描与一般文物扫描不同，复杂程度加剧、耗时更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我馆将克服疫情带来的影响，排除各种影响项目进度的问题，加快项目执行，同时保质保量完成恐龙数字科普长廊系统、恐龙世界大厅数字化解释说明系统、遗址发掘现场数字化解释说明系统、课程教育软件开发等工作。保证在2023年6月之前完成项目所有工作及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项目负责人：李飚</w:t>
            </w:r>
          </w:p>
        </w:tc>
        <w:tc>
          <w:tcPr>
            <w:tcW w:w="55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财务负责人：李飚</w:t>
            </w:r>
          </w:p>
        </w:tc>
      </w:tr>
    </w:tbl>
    <w:p>
      <w:pPr>
        <w:rPr>
          <w:rFonts w:hint="eastAsia"/>
        </w:rPr>
      </w:pPr>
    </w:p>
    <w:p>
      <w:pPr>
        <w:rPr>
          <w:rFonts w:hint="eastAsia"/>
        </w:rPr>
      </w:pPr>
    </w:p>
    <w:tbl>
      <w:tblPr>
        <w:tblStyle w:val="14"/>
        <w:tblW w:w="11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954"/>
        <w:gridCol w:w="1702"/>
        <w:gridCol w:w="1993"/>
        <w:gridCol w:w="491"/>
        <w:gridCol w:w="616"/>
        <w:gridCol w:w="416"/>
        <w:gridCol w:w="2329"/>
        <w:gridCol w:w="504"/>
        <w:gridCol w:w="802"/>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5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51030022T000005254871</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上年结转——川财教（2021）78号，2021年第二批国家文物保护专项资金和省级文物保护专项资金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自贡市文化广播电视和旅游局部门</w:t>
            </w:r>
          </w:p>
        </w:tc>
        <w:tc>
          <w:tcPr>
            <w:tcW w:w="24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自贡恐龙博物馆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工作区域范围的测绘、钻探、土地勘界、临时用地证办理和4个点位的槽探工作。</w:t>
            </w:r>
          </w:p>
        </w:tc>
        <w:tc>
          <w:tcPr>
            <w:tcW w:w="4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完成工作区域测绘、钻探、临时用地勘界、临时用地证办理和4个点位槽探工作。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w:t>
            </w:r>
            <w:r>
              <w:rPr>
                <w:rFonts w:ascii="宋体" w:hAnsi="宋体" w:eastAsia="宋体" w:cs="宋体"/>
                <w:i w:val="0"/>
                <w:iCs w:val="0"/>
                <w:color w:val="000000"/>
                <w:kern w:val="0"/>
                <w:sz w:val="18"/>
                <w:szCs w:val="18"/>
                <w:u w:val="none"/>
                <w:lang w:val="en-US" w:eastAsia="zh-CN" w:bidi="ar"/>
              </w:rPr>
              <w:t>勘探区域测绘工作，提交测绘成果，包括调查勘探区域地形地貌图、正射影像图和恐龙馆3D模型图；开展勘探区域115各点位钻探工作，钻探总深度哒1989.4米；开展了临时用地的土地勘界和临时用地证办理工作，为园区外点位槽探工作奠定了基础；开展了园区内和园区外4处点位槽探工作，在3处槽探点发现有恐龙化石，其中4号点位发现一具大型蜥脚类恐龙骨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91.22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48.56</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48.56</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91.22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48.56</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48.56</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8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87"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8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8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7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24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8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大山铺恐龙化石群遗址及周边区域选择钻探点位</w:t>
            </w:r>
          </w:p>
        </w:tc>
        <w:tc>
          <w:tcPr>
            <w:tcW w:w="4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2" w:type="dxa"/>
            <w:tcBorders>
              <w:top w:val="single" w:color="auto"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19" w:type="dxa"/>
            <w:tcBorders>
              <w:top w:val="single" w:color="auto"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115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综合以往地质资料，在工作区范围内选择115个点位进行钻探工作，钻探成果基本满足项目要求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根据钻探结果选取槽探地点</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每个钻孔平均深度</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2"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9"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平均每个槽探体积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立方米</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勘探项目完成时间</w:t>
            </w:r>
          </w:p>
        </w:tc>
        <w:tc>
          <w:tcPr>
            <w:tcW w:w="4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2"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c>
          <w:tcPr>
            <w:tcW w:w="219"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2023.08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程序复杂，招标、采购和办理临时用地证拖延了大量时间，影响整个勘探工作进度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提高文物保护水平及全民文物保护意识</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通过项目开展摸清了大山铺恐龙化石群遗址含化石岩层走向与分布，同时在项目开展过程中，不断给当地村民普及古生物化石基本知识，提升辨识化石能力和保护意识</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为化石规划提供科学依据的影响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通过项目开展摸清了大山铺恐龙化石群遗址含化石岩层走向与分布，通过槽探发现了多个恐龙化石点位，为世界恐龙之乡建设和恐龙馆园区拓展规划提供了科学依据</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社会公众和地方民众对项目实施的满意度</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94.27</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山铺恐龙化石群遗址调查勘探项目规划设计科学，实施方案标准高，管理措施到位，完成项目质量好，达到项目设计的预期目的，使该项目成为一个社会效益和经济效益明显的项目。同时，对照《2022年专项预算项目支出绩效评价指标体系》计分规则，使得该项目管理综合计分达到94.3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  程序复杂，招标、采购和办理临时用地证拖延了大量时间，影响整个勘探工作进度；2.  有些项目所需的设备如投影仪、电脑、打印机等属于政府采购目录，而且有指标和预算限制，不能采购到位，影响工作效率；3.  沟通协调工作需加强，虽然每次进场施工前都与镇政府、村（社区）及村民进行了对接沟通，也得到了绝大多数村民的理解和支持，但也有个别村民户主阻挠干扰。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进一步完善程序、做好协调沟通工作，提高工作效率，节省项目完成时间。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项目负责人：李飚</w:t>
            </w:r>
          </w:p>
        </w:tc>
        <w:tc>
          <w:tcPr>
            <w:tcW w:w="55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财务负责人：李飚</w:t>
            </w:r>
          </w:p>
        </w:tc>
      </w:tr>
    </w:tbl>
    <w:p>
      <w:pPr>
        <w:pStyle w:val="6"/>
        <w:rPr>
          <w:rFonts w:hint="eastAsia"/>
        </w:rPr>
      </w:pPr>
    </w:p>
    <w:p>
      <w:pPr>
        <w:rPr>
          <w:rFonts w:hint="eastAsia"/>
        </w:rPr>
      </w:pPr>
    </w:p>
    <w:tbl>
      <w:tblPr>
        <w:tblStyle w:val="14"/>
        <w:tblW w:w="11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960"/>
        <w:gridCol w:w="1714"/>
        <w:gridCol w:w="2010"/>
        <w:gridCol w:w="491"/>
        <w:gridCol w:w="576"/>
        <w:gridCol w:w="396"/>
        <w:gridCol w:w="2353"/>
        <w:gridCol w:w="504"/>
        <w:gridCol w:w="795"/>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15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51030022T000005920966</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重新安排</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川财教（2020）77号，自财教（2020）38号，下达2020年四川省科普专项资金预算（天府科）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自贡市文化广播电视和旅游局部门</w:t>
            </w:r>
          </w:p>
        </w:tc>
        <w:tc>
          <w:tcPr>
            <w:tcW w:w="243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自贡恐龙博物馆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提升博物馆陈列展览水平</w:t>
            </w:r>
          </w:p>
        </w:tc>
        <w:tc>
          <w:tcPr>
            <w:tcW w:w="4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于2020年完成了2号馆陈列展示概念设计方案</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于2021年完成了主展馆展陈提升大纲文本编制</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于2021年完成了自贡恐龙博物馆前广场及部分园区功能、环境提升策划及初级任务书的编制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我馆在前期已完成陈列展示大纲的编制，并报四川省文物局审批，在充分摸底调研并与各设计单位深入沟通的基础上，于2020年4月，向全国13家博物馆展览设计公司发出设计邀请，由于疫情影响，最终有10家设计团队参与了最后的方案评选。随后经过多次的研讨、评议，最终一致认为：华艺博展装饰有限公司（7号方案设计单位）方案获一等奖，并由华艺博展装饰有限公司按照省、市各级领导部门及我馆提出的修改意见，在吸收其他获奖设计方案优点的基础上进行整合深化，形成招标设计方案。</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自贡恐龙博物馆主展馆展陈提升大纲文本编制采购项目和自贡恐龙博物馆前广场及部分园区功能、环境提升策划及初级任务书采购项目均委托第三方代理机构四川乾新招投标代理有限公司采用竞争性磋商的方式进行公开采购，分别由四川天演科博文化发展有限公司和自贡市城市规划设计研究院有限责任公司成为成交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推进自贡恐龙博物馆展陈提升工程，编制完成2号馆概念设计方案</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推进自贡恐龙博物馆展陈提升工程，编制完成主展馆陈展提升方案</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推进自贡恐龙博物馆展陈提升工程，新增展陈面积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2930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提升文物保护水平与全民文物保护意识</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显著</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显著。通过项目的实施有效地保护和展示了新发现的地层剖面和化石遗址，并提升了对主展馆展示利用的水平，增强全民对化石的保护意识。</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对中华优秀传统文化传承影响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显著</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显著。通过项目的实施有效提升了博物馆的展陈水平，更好地将对恐龙的保护、研究、展示呈现到游客的面前。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社会公众对重点文物保护满意度</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项目经自评获得总分100分，均按照绩效指标完成。</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项目完成了博物馆展陈提升工作3个，分别是自贡恐龙博物馆二号馆陈列展示概念设计方案、自贡恐龙博物馆主展馆展陈提升大纲文本编制、自贡恐龙博物馆前广场及部分园区功能、环境提升策划及初级任务书的编制，项目的实施提升了主展馆和二号馆陈列展览水平，对中华优秀传统文化传承和对古生物化石的保护起到了显著作用，提高了公众对重点文物保护的意识和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项目负责人：李飚</w:t>
            </w:r>
          </w:p>
        </w:tc>
        <w:tc>
          <w:tcPr>
            <w:tcW w:w="55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财务负责人：李飚</w:t>
            </w:r>
          </w:p>
        </w:tc>
      </w:tr>
    </w:tbl>
    <w:p>
      <w:pPr>
        <w:rPr>
          <w:rFonts w:hint="eastAsia"/>
        </w:rPr>
      </w:pPr>
    </w:p>
    <w:p>
      <w:pPr>
        <w:pStyle w:val="6"/>
        <w:rPr>
          <w:rFonts w:hint="eastAsia"/>
        </w:rPr>
      </w:pPr>
    </w:p>
    <w:tbl>
      <w:tblPr>
        <w:tblStyle w:val="14"/>
        <w:tblW w:w="11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960"/>
        <w:gridCol w:w="1714"/>
        <w:gridCol w:w="2010"/>
        <w:gridCol w:w="491"/>
        <w:gridCol w:w="576"/>
        <w:gridCol w:w="396"/>
        <w:gridCol w:w="2353"/>
        <w:gridCol w:w="504"/>
        <w:gridCol w:w="795"/>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15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51030022T000005920968</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重新安排</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自财教（2019）70号，川财教（2019）80号，2019年省级文物保护专项补助资金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自贡市文化广播电视和旅游局部门</w:t>
            </w:r>
          </w:p>
        </w:tc>
        <w:tc>
          <w:tcPr>
            <w:tcW w:w="243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自贡恐龙博物馆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完成临展厅改造，将临展厅改造成符合博物馆标准的、能适应大多数临展项目的临时展览厅。为丰富展示内容，更好地发挥科普职能，增强博物馆的吸引力，让更多观众走进博物馆铺垫基础。</w:t>
            </w:r>
          </w:p>
        </w:tc>
        <w:tc>
          <w:tcPr>
            <w:tcW w:w="4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完成了工程施工，验收合格，通过四川中衡安信工程管理有限公司对项目的审计后，圆满完成工程项目。弥补了我馆长期以来引进临展少的短板，丰富我馆的展陈，为观众提供更多的展示内容。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是原我馆4D影院改造为多功能临展厅，改造工程采用现代展陈技术，将其打造成为具备现代风格的，能够适应多种类型临展需要的临展厅。主要对展厅灯光、顶面、地面、墙面进行全新改造，为举办和引进临展创造基础条件。</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改造工程项目施工时间为：2019年11月5日至2020年1月6日，验收时间为2020年1月9日。后通过四川中衡安信工程管理有限公司对项目的审计，于2021年12月完成项目工程的审计工作。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改造展陈面积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成本控制金额</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73.13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采用环保装饰材料制作</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达标</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适应多种类型临展的需要可持续使用年限</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项目已完成绩效目标，取得成果优异，得分100分。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53" w:type="dxa"/>
            <w:gridSpan w:val="10"/>
            <w:tcBorders>
              <w:top w:val="single" w:color="000000" w:sz="4" w:space="0"/>
              <w:left w:val="single" w:color="000000" w:sz="4" w:space="0"/>
              <w:bottom w:val="nil"/>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项目负责人：李飚</w:t>
            </w:r>
          </w:p>
        </w:tc>
        <w:tc>
          <w:tcPr>
            <w:tcW w:w="55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财务负责人：李飚</w:t>
            </w:r>
          </w:p>
        </w:tc>
      </w:tr>
    </w:tbl>
    <w:p>
      <w:pPr>
        <w:pStyle w:val="6"/>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tbl>
      <w:tblPr>
        <w:tblStyle w:val="14"/>
        <w:tblW w:w="11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960"/>
        <w:gridCol w:w="1714"/>
        <w:gridCol w:w="2010"/>
        <w:gridCol w:w="491"/>
        <w:gridCol w:w="576"/>
        <w:gridCol w:w="396"/>
        <w:gridCol w:w="2353"/>
        <w:gridCol w:w="504"/>
        <w:gridCol w:w="795"/>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15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51030022T000005943376</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上年结转</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市恐龙博物馆川财投（2018）55号，自财投（2018）34号，关于下达2018年文化旅游提升中央预算内投资支出预算的通知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自贡市文化广播电视和旅游局部门</w:t>
            </w:r>
          </w:p>
        </w:tc>
        <w:tc>
          <w:tcPr>
            <w:tcW w:w="243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自贡恐龙博物馆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改建恐龙博物馆2号陈列展示中心3334平方米，新建科普信息站300平方米，新建保护隔离设施1套，新建游客步行道100米，配套场馆相关给排水管线、供电线路、污水处理设施及安消防设施等基础设施</w:t>
            </w:r>
          </w:p>
        </w:tc>
        <w:tc>
          <w:tcPr>
            <w:tcW w:w="4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建恐龙博物馆2号馆陈列展示中心3334平方米，新建科普信息站300平方米，新建保护隔离设施1套，新建博物馆内1、2号场馆连接游客廊道100米，新建恒温恒湿保护隔离设施1套，配套场馆相关给排水管线、供电线路、配电设施改造、污水处理设施、安消防设施等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已经分批完成了自贡世界地质公园建设项目污水排水处理设施安装工程、自贡恐龙博物馆二号馆配电系统改造工程、自贡恐龙博物馆内部电力设备迁移工程、自贡地质世界公园建设项目二号陈列展示馆改建工程四个子项工程。</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完成了改建恐龙博物馆2号馆陈列展示中心3334平方米，新建科普信息站300平方米，新建保护隔离设施1套，新建博物馆内1、2号场馆连接游客廊道100米，新建恒温恒湿保护隔离设施1套，配套场馆相关给排水管线、供电线路、配电设施改造、污水处理设施、安消防设施等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8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6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二号馆的全面维修面积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3334</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3334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jc w:val="center"/>
        </w:trPr>
        <w:tc>
          <w:tcPr>
            <w:tcW w:w="6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安消防、中央空调、污水排水设施、配电设施安装</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6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工程验收合格率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2020年12月</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2020年12月</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建设项目</w:t>
            </w:r>
            <w:r>
              <w:rPr>
                <w:rFonts w:hint="eastAsia" w:ascii="宋体" w:hAnsi="宋体" w:eastAsia="宋体" w:cs="宋体"/>
                <w:i w:val="0"/>
                <w:iCs w:val="0"/>
                <w:color w:val="000000"/>
                <w:kern w:val="0"/>
                <w:sz w:val="18"/>
                <w:szCs w:val="18"/>
                <w:u w:val="none"/>
                <w:lang w:val="en-US" w:eastAsia="zh-CN" w:bidi="ar"/>
              </w:rPr>
              <w:t>地</w:t>
            </w:r>
            <w:r>
              <w:rPr>
                <w:rFonts w:ascii="宋体" w:hAnsi="宋体" w:eastAsia="宋体" w:cs="宋体"/>
                <w:i w:val="0"/>
                <w:iCs w:val="0"/>
                <w:color w:val="000000"/>
                <w:kern w:val="0"/>
                <w:sz w:val="18"/>
                <w:szCs w:val="18"/>
                <w:u w:val="none"/>
                <w:lang w:val="en-US" w:eastAsia="zh-CN" w:bidi="ar"/>
              </w:rPr>
              <w:t>影响年限</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建设项目可使用年限</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项目经自评获得总分100分，均按照绩效指标完成。</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完成了改建恐龙博物馆2号馆陈列展示中心3334平方米，新建科普信息站300平方米，新建保护隔离设施1套，新建博物馆内1、2号场馆连接游客廊道100米，新建恒温恒湿保护隔离设施1套，配套场馆相关给排水管线、供电线路、配电设施改造、污水处理设施、安消防设施等基础设施。项目的完成为二号馆科普展示工程的布展建设提供了良好的基础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项目负责人：李飚</w:t>
            </w:r>
          </w:p>
        </w:tc>
        <w:tc>
          <w:tcPr>
            <w:tcW w:w="55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财务负责人：李飚</w:t>
            </w:r>
          </w:p>
        </w:tc>
      </w:tr>
    </w:tbl>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tbl>
      <w:tblPr>
        <w:tblStyle w:val="14"/>
        <w:tblW w:w="11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960"/>
        <w:gridCol w:w="1712"/>
        <w:gridCol w:w="2013"/>
        <w:gridCol w:w="491"/>
        <w:gridCol w:w="576"/>
        <w:gridCol w:w="396"/>
        <w:gridCol w:w="2354"/>
        <w:gridCol w:w="504"/>
        <w:gridCol w:w="795"/>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15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51030022T000006202606</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重点生态功能区转移支付项目资金（用于二号馆科普展示工程及配套建设项目和自贡地质公园建设项目资金支持）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自贡市文化广播电视和旅游局部门</w:t>
            </w:r>
          </w:p>
        </w:tc>
        <w:tc>
          <w:tcPr>
            <w:tcW w:w="243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自贡恐龙博物馆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目标1：支持二号馆</w:t>
            </w:r>
            <w:r>
              <w:rPr>
                <w:rFonts w:hint="eastAsia" w:ascii="宋体" w:hAnsi="宋体" w:eastAsia="宋体" w:cs="宋体"/>
                <w:i w:val="0"/>
                <w:iCs w:val="0"/>
                <w:color w:val="000000"/>
                <w:kern w:val="0"/>
                <w:sz w:val="18"/>
                <w:szCs w:val="18"/>
                <w:u w:val="none"/>
                <w:lang w:val="en-US" w:eastAsia="zh-CN" w:bidi="ar"/>
              </w:rPr>
              <w:t>主体建筑</w:t>
            </w:r>
            <w:r>
              <w:rPr>
                <w:rFonts w:ascii="宋体" w:hAnsi="宋体" w:eastAsia="宋体" w:cs="宋体"/>
                <w:i w:val="0"/>
                <w:iCs w:val="0"/>
                <w:color w:val="000000"/>
                <w:kern w:val="0"/>
                <w:sz w:val="18"/>
                <w:szCs w:val="18"/>
                <w:u w:val="none"/>
                <w:lang w:val="en-US" w:eastAsia="zh-CN" w:bidi="ar"/>
              </w:rPr>
              <w:t>维修维护建设；目标2：支持二号馆科普展示工程及配套建设项目</w:t>
            </w:r>
          </w:p>
        </w:tc>
        <w:tc>
          <w:tcPr>
            <w:tcW w:w="4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在2020年完成二号馆主体建筑维修维护建设项目；</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在2022年完成了二号馆科普展示工程及配套建设项目。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了对二号馆主体建筑维修维护建设项目内部电力的造价咨询、勘察设计、设备迁移工程等内容，以及自贡恐龙博物馆二号馆科普展示工程及配套建设项目编制可行性研究报告咨询服务费和设计施工总承包等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20.32</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20.32</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20.32</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20.32</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支持二号馆的维修维护及布展建设</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3334</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3334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项目建设验收合格率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成本有效控制</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好。严格按照自财预〔2020〕43号文件要求用于支持二号馆主体建筑维修维护建设和支持二号馆科普展示工程及配套建设项目，资金已完成全部支付。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建成后游客增长率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137%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对恐龙文化传播促进作用</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优。二号馆已接待游客超一百万人次，发布重点宣传稿件40余篇，开展科普教育活动54场次，直接受众17.3万人次，对恐龙文化的传播起到了很好的促进作用。</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项目使用年限</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游客满意度</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项目经自评获得总分100分，均按照绩效指标完成。</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二号馆主体建筑维修维护建设项目的完成，为二号馆科普展示工程的布展建设提供了良好的基础条件。</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二号馆科普展示工程完成了3334平方米的布展建设，于2023年元旦试运行，已接待游客超一百万人次，获得了游客一致好评。并受到重要媒体宣传报告，发布重点稿件40余篇；开展教育活动54场次，直接受众17.3万人次；二号馆基本陈列《岩石上的巨兽时代》参与了2022年度四川省博物馆十大陈列展览的角逐，荣获了2022年度四川省博物馆十大陈列展览精品奖；地质剖面多功能场景荣获2022年度四川省博物馆“数字文物创新应用优秀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项目负责人：李飚</w:t>
            </w:r>
          </w:p>
        </w:tc>
        <w:tc>
          <w:tcPr>
            <w:tcW w:w="55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财务负责人：李飚</w:t>
            </w:r>
          </w:p>
        </w:tc>
      </w:tr>
    </w:tbl>
    <w:p>
      <w:pPr>
        <w:rPr>
          <w:rFonts w:hint="eastAsia"/>
        </w:rPr>
      </w:pPr>
    </w:p>
    <w:p>
      <w:pPr>
        <w:rPr>
          <w:rFonts w:hint="eastAsia"/>
        </w:rPr>
      </w:pPr>
    </w:p>
    <w:p>
      <w:pPr>
        <w:pStyle w:val="6"/>
        <w:rPr>
          <w:rFonts w:hint="eastAsia"/>
        </w:rPr>
      </w:pPr>
    </w:p>
    <w:p>
      <w:pPr>
        <w:rPr>
          <w:rFonts w:hint="eastAsia"/>
        </w:rPr>
      </w:pPr>
    </w:p>
    <w:p>
      <w:pPr>
        <w:pStyle w:val="6"/>
        <w:rPr>
          <w:rFonts w:hint="eastAsia"/>
        </w:rPr>
      </w:pPr>
    </w:p>
    <w:p>
      <w:pPr>
        <w:spacing w:line="600" w:lineRule="exact"/>
        <w:jc w:val="center"/>
        <w:outlineLvl w:val="0"/>
        <w:rPr>
          <w:rStyle w:val="18"/>
          <w:rFonts w:ascii="黑体" w:hAnsi="黑体" w:eastAsia="黑体"/>
          <w:b w:val="0"/>
        </w:rPr>
      </w:pPr>
      <w:bookmarkStart w:id="66" w:name="_Toc3613"/>
      <w:r>
        <w:rPr>
          <w:rFonts w:hint="eastAsia" w:ascii="黑体" w:hAnsi="黑体" w:eastAsia="黑体"/>
          <w:color w:val="000000"/>
          <w:sz w:val="44"/>
          <w:szCs w:val="44"/>
        </w:rPr>
        <w:t>第</w:t>
      </w:r>
      <w:r>
        <w:rPr>
          <w:rStyle w:val="18"/>
          <w:rFonts w:hint="eastAsia" w:ascii="黑体" w:hAnsi="黑体" w:eastAsia="黑体"/>
          <w:b w:val="0"/>
        </w:rPr>
        <w:t>五部分</w:t>
      </w:r>
      <w:r>
        <w:rPr>
          <w:rStyle w:val="18"/>
          <w:rFonts w:ascii="黑体" w:hAnsi="黑体" w:eastAsia="黑体"/>
          <w:b w:val="0"/>
        </w:rPr>
        <w:t xml:space="preserve"> </w:t>
      </w:r>
      <w:r>
        <w:rPr>
          <w:rStyle w:val="18"/>
          <w:rFonts w:hint="eastAsia" w:ascii="黑体" w:hAnsi="黑体" w:eastAsia="黑体"/>
          <w:b w:val="0"/>
        </w:rPr>
        <w:t>附表</w:t>
      </w:r>
      <w:bookmarkEnd w:id="62"/>
      <w:bookmarkEnd w:id="65"/>
      <w:bookmarkEnd w:id="66"/>
    </w:p>
    <w:p>
      <w:pPr>
        <w:spacing w:line="600" w:lineRule="exact"/>
        <w:jc w:val="center"/>
        <w:outlineLvl w:val="0"/>
        <w:rPr>
          <w:rFonts w:ascii="仿宋" w:hAnsi="仿宋" w:eastAsia="仿宋"/>
          <w:b/>
          <w:color w:val="000000"/>
          <w:sz w:val="44"/>
          <w:szCs w:val="44"/>
        </w:rPr>
      </w:pPr>
    </w:p>
    <w:p>
      <w:pPr>
        <w:pStyle w:val="4"/>
        <w:rPr>
          <w:rFonts w:ascii="仿宋" w:hAnsi="仿宋" w:eastAsia="仿宋"/>
          <w:color w:val="auto"/>
          <w:highlight w:val="none"/>
        </w:rPr>
      </w:pPr>
      <w:bookmarkStart w:id="67" w:name="_Toc21455"/>
      <w:r>
        <w:rPr>
          <w:rFonts w:hint="eastAsia" w:ascii="仿宋" w:hAnsi="仿宋" w:eastAsia="仿宋"/>
          <w:b w:val="0"/>
          <w:color w:val="auto"/>
          <w:highlight w:val="none"/>
        </w:rPr>
        <w:t>一、收</w:t>
      </w:r>
      <w:r>
        <w:rPr>
          <w:rStyle w:val="22"/>
          <w:rFonts w:hint="eastAsia" w:ascii="仿宋" w:hAnsi="仿宋" w:eastAsia="仿宋"/>
          <w:b w:val="0"/>
          <w:bCs w:val="0"/>
          <w:color w:val="auto"/>
          <w:highlight w:val="none"/>
        </w:rPr>
        <w:t>入支出决算总表</w:t>
      </w:r>
      <w:bookmarkEnd w:id="67"/>
    </w:p>
    <w:p>
      <w:pPr>
        <w:pStyle w:val="4"/>
        <w:rPr>
          <w:rFonts w:ascii="仿宋" w:hAnsi="仿宋" w:eastAsia="仿宋"/>
          <w:color w:val="auto"/>
          <w:highlight w:val="none"/>
        </w:rPr>
      </w:pPr>
      <w:bookmarkStart w:id="68" w:name="_Toc19902"/>
      <w:bookmarkStart w:id="69" w:name="_Toc15396620"/>
      <w:r>
        <w:rPr>
          <w:rFonts w:hint="eastAsia" w:ascii="仿宋" w:hAnsi="仿宋" w:eastAsia="仿宋"/>
          <w:b w:val="0"/>
          <w:color w:val="auto"/>
          <w:highlight w:val="none"/>
        </w:rPr>
        <w:t>二、收</w:t>
      </w:r>
      <w:r>
        <w:rPr>
          <w:rStyle w:val="22"/>
          <w:rFonts w:hint="eastAsia" w:ascii="仿宋" w:hAnsi="仿宋" w:eastAsia="仿宋"/>
          <w:b w:val="0"/>
          <w:bCs w:val="0"/>
          <w:color w:val="auto"/>
          <w:highlight w:val="none"/>
        </w:rPr>
        <w:t>入决算表</w:t>
      </w:r>
      <w:bookmarkEnd w:id="68"/>
      <w:bookmarkEnd w:id="69"/>
    </w:p>
    <w:p>
      <w:pPr>
        <w:pStyle w:val="4"/>
        <w:rPr>
          <w:rFonts w:ascii="仿宋" w:hAnsi="仿宋" w:eastAsia="仿宋"/>
          <w:color w:val="auto"/>
          <w:highlight w:val="none"/>
        </w:rPr>
      </w:pPr>
      <w:bookmarkStart w:id="70" w:name="_Toc15396621"/>
      <w:bookmarkStart w:id="71" w:name="_Toc5842"/>
      <w:r>
        <w:rPr>
          <w:rStyle w:val="22"/>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2"/>
          <w:rFonts w:hint="eastAsia" w:ascii="仿宋" w:hAnsi="仿宋" w:eastAsia="仿宋"/>
          <w:b w:val="0"/>
          <w:bCs w:val="0"/>
          <w:color w:val="auto"/>
          <w:highlight w:val="none"/>
        </w:rPr>
        <w:t>出决算表</w:t>
      </w:r>
      <w:bookmarkEnd w:id="70"/>
      <w:bookmarkEnd w:id="71"/>
    </w:p>
    <w:p>
      <w:pPr>
        <w:pStyle w:val="4"/>
        <w:rPr>
          <w:rFonts w:ascii="仿宋" w:hAnsi="仿宋" w:eastAsia="仿宋"/>
          <w:b w:val="0"/>
          <w:color w:val="auto"/>
          <w:highlight w:val="none"/>
        </w:rPr>
      </w:pPr>
      <w:bookmarkStart w:id="72" w:name="_Toc15396622"/>
      <w:bookmarkStart w:id="73" w:name="_Toc3877"/>
      <w:r>
        <w:rPr>
          <w:rStyle w:val="2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2"/>
          <w:rFonts w:hint="eastAsia" w:ascii="仿宋" w:hAnsi="仿宋" w:eastAsia="仿宋"/>
          <w:b w:val="0"/>
          <w:bCs w:val="0"/>
          <w:color w:val="auto"/>
          <w:highlight w:val="none"/>
        </w:rPr>
        <w:t>政拨款收入支出决算总表</w:t>
      </w:r>
      <w:bookmarkEnd w:id="72"/>
      <w:bookmarkEnd w:id="73"/>
    </w:p>
    <w:p>
      <w:pPr>
        <w:pStyle w:val="4"/>
        <w:rPr>
          <w:rStyle w:val="22"/>
          <w:rFonts w:ascii="仿宋" w:hAnsi="仿宋" w:eastAsia="仿宋"/>
          <w:b w:val="0"/>
          <w:bCs w:val="0"/>
          <w:color w:val="auto"/>
          <w:highlight w:val="none"/>
        </w:rPr>
      </w:pPr>
      <w:bookmarkStart w:id="74" w:name="_Toc15396623"/>
      <w:bookmarkStart w:id="75" w:name="_Toc750"/>
      <w:r>
        <w:rPr>
          <w:rStyle w:val="2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2"/>
          <w:rFonts w:hint="eastAsia" w:ascii="仿宋" w:hAnsi="仿宋" w:eastAsia="仿宋"/>
          <w:b w:val="0"/>
          <w:bCs w:val="0"/>
          <w:color w:val="auto"/>
          <w:highlight w:val="none"/>
        </w:rPr>
        <w:t>政拨款支出决算明细表</w:t>
      </w:r>
      <w:bookmarkEnd w:id="74"/>
      <w:bookmarkEnd w:id="75"/>
      <w:bookmarkStart w:id="76" w:name="_Toc15396624"/>
    </w:p>
    <w:p>
      <w:pPr>
        <w:pStyle w:val="4"/>
        <w:rPr>
          <w:rFonts w:ascii="仿宋" w:hAnsi="仿宋" w:eastAsia="仿宋"/>
          <w:color w:val="auto"/>
          <w:highlight w:val="none"/>
        </w:rPr>
      </w:pPr>
      <w:bookmarkStart w:id="77" w:name="_Toc19194"/>
      <w:r>
        <w:rPr>
          <w:rStyle w:val="2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般公共预算财政拨款支出决算表</w:t>
      </w:r>
      <w:bookmarkEnd w:id="76"/>
      <w:bookmarkEnd w:id="77"/>
    </w:p>
    <w:p>
      <w:pPr>
        <w:pStyle w:val="4"/>
        <w:rPr>
          <w:rFonts w:ascii="仿宋" w:hAnsi="仿宋" w:eastAsia="仿宋"/>
          <w:color w:val="auto"/>
          <w:highlight w:val="none"/>
        </w:rPr>
      </w:pPr>
      <w:bookmarkStart w:id="78" w:name="_Toc15396625"/>
      <w:bookmarkStart w:id="79" w:name="_Toc7054"/>
      <w:r>
        <w:rPr>
          <w:rStyle w:val="2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般公共预算财政拨款支出决算明细表</w:t>
      </w:r>
      <w:bookmarkEnd w:id="78"/>
      <w:bookmarkEnd w:id="79"/>
    </w:p>
    <w:p>
      <w:pPr>
        <w:pStyle w:val="4"/>
        <w:rPr>
          <w:rFonts w:ascii="仿宋" w:hAnsi="仿宋" w:eastAsia="仿宋"/>
          <w:color w:val="auto"/>
          <w:highlight w:val="none"/>
        </w:rPr>
      </w:pPr>
      <w:bookmarkStart w:id="80" w:name="_Toc14041"/>
      <w:bookmarkStart w:id="81" w:name="_Toc15396626"/>
      <w:r>
        <w:rPr>
          <w:rStyle w:val="2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般公共预算财政拨款基本支出决算表</w:t>
      </w:r>
      <w:bookmarkEnd w:id="80"/>
      <w:bookmarkEnd w:id="81"/>
    </w:p>
    <w:p>
      <w:pPr>
        <w:pStyle w:val="4"/>
        <w:rPr>
          <w:rFonts w:ascii="仿宋" w:hAnsi="仿宋" w:eastAsia="仿宋"/>
          <w:color w:val="auto"/>
          <w:highlight w:val="none"/>
        </w:rPr>
      </w:pPr>
      <w:bookmarkStart w:id="82" w:name="_Toc15396627"/>
      <w:bookmarkStart w:id="83" w:name="_Toc26706"/>
      <w:r>
        <w:rPr>
          <w:rStyle w:val="2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般公共预算财政拨款项目支出决算表</w:t>
      </w:r>
      <w:bookmarkEnd w:id="82"/>
      <w:bookmarkEnd w:id="83"/>
    </w:p>
    <w:p>
      <w:pPr>
        <w:pStyle w:val="4"/>
        <w:rPr>
          <w:rFonts w:ascii="仿宋" w:hAnsi="仿宋" w:eastAsia="仿宋"/>
          <w:color w:val="auto"/>
          <w:highlight w:val="none"/>
        </w:rPr>
      </w:pPr>
      <w:bookmarkStart w:id="84" w:name="_Toc15396628"/>
      <w:bookmarkStart w:id="85" w:name="_Toc2700"/>
      <w:r>
        <w:rPr>
          <w:rStyle w:val="22"/>
          <w:rFonts w:hint="eastAsia" w:ascii="仿宋" w:hAnsi="仿宋" w:eastAsia="仿宋"/>
          <w:b w:val="0"/>
          <w:bCs w:val="0"/>
          <w:color w:val="auto"/>
          <w:highlight w:val="none"/>
        </w:rPr>
        <w:t>十、</w:t>
      </w:r>
      <w:bookmarkEnd w:id="84"/>
      <w:r>
        <w:rPr>
          <w:rFonts w:hint="eastAsia" w:ascii="仿宋" w:hAnsi="仿宋" w:eastAsia="仿宋"/>
          <w:b w:val="0"/>
          <w:color w:val="auto"/>
          <w:highlight w:val="none"/>
        </w:rPr>
        <w:t>政</w:t>
      </w:r>
      <w:r>
        <w:rPr>
          <w:rStyle w:val="22"/>
          <w:rFonts w:hint="eastAsia" w:ascii="仿宋" w:hAnsi="仿宋" w:eastAsia="仿宋"/>
          <w:b w:val="0"/>
          <w:bCs w:val="0"/>
          <w:color w:val="auto"/>
          <w:highlight w:val="none"/>
        </w:rPr>
        <w:t>府性基金预算财政拨款收入支出决算表</w:t>
      </w:r>
      <w:bookmarkEnd w:id="85"/>
    </w:p>
    <w:p>
      <w:pPr>
        <w:pStyle w:val="4"/>
        <w:rPr>
          <w:rFonts w:ascii="仿宋" w:hAnsi="仿宋" w:eastAsia="仿宋"/>
          <w:color w:val="auto"/>
          <w:highlight w:val="none"/>
        </w:rPr>
      </w:pPr>
      <w:bookmarkStart w:id="86" w:name="_Toc15396629"/>
      <w:bookmarkStart w:id="87" w:name="_Toc32218"/>
      <w:r>
        <w:rPr>
          <w:rStyle w:val="22"/>
          <w:rFonts w:hint="eastAsia" w:ascii="仿宋" w:hAnsi="仿宋" w:eastAsia="仿宋"/>
          <w:b w:val="0"/>
          <w:bCs w:val="0"/>
          <w:color w:val="auto"/>
          <w:highlight w:val="none"/>
        </w:rPr>
        <w:t>十一、</w:t>
      </w:r>
      <w:bookmarkEnd w:id="86"/>
      <w:r>
        <w:rPr>
          <w:rFonts w:hint="eastAsia" w:ascii="仿宋" w:hAnsi="仿宋" w:eastAsia="仿宋"/>
          <w:b w:val="0"/>
          <w:color w:val="auto"/>
          <w:highlight w:val="none"/>
        </w:rPr>
        <w:t>国</w:t>
      </w:r>
      <w:r>
        <w:rPr>
          <w:rStyle w:val="22"/>
          <w:rFonts w:hint="eastAsia" w:ascii="仿宋" w:hAnsi="仿宋" w:eastAsia="仿宋"/>
          <w:b w:val="0"/>
          <w:bCs w:val="0"/>
          <w:color w:val="auto"/>
          <w:highlight w:val="none"/>
        </w:rPr>
        <w:t>有资本经营预算</w:t>
      </w:r>
      <w:r>
        <w:rPr>
          <w:rStyle w:val="22"/>
          <w:rFonts w:hint="eastAsia" w:ascii="仿宋" w:hAnsi="仿宋" w:eastAsia="仿宋"/>
          <w:b w:val="0"/>
          <w:bCs w:val="0"/>
          <w:color w:val="auto"/>
          <w:highlight w:val="none"/>
          <w:lang w:eastAsia="zh-CN"/>
        </w:rPr>
        <w:t>财政拨款收入</w:t>
      </w:r>
      <w:r>
        <w:rPr>
          <w:rStyle w:val="22"/>
          <w:rFonts w:hint="eastAsia" w:ascii="仿宋" w:hAnsi="仿宋" w:eastAsia="仿宋"/>
          <w:b w:val="0"/>
          <w:bCs w:val="0"/>
          <w:color w:val="auto"/>
          <w:highlight w:val="none"/>
        </w:rPr>
        <w:t>支出决算表</w:t>
      </w:r>
      <w:bookmarkEnd w:id="87"/>
    </w:p>
    <w:p>
      <w:pPr>
        <w:pStyle w:val="4"/>
        <w:rPr>
          <w:rFonts w:ascii="仿宋" w:hAnsi="仿宋" w:eastAsia="仿宋"/>
          <w:color w:val="auto"/>
          <w:highlight w:val="none"/>
        </w:rPr>
      </w:pPr>
      <w:bookmarkStart w:id="88" w:name="_Toc15396630"/>
      <w:bookmarkStart w:id="89" w:name="_Toc23596"/>
      <w:r>
        <w:rPr>
          <w:rStyle w:val="22"/>
          <w:rFonts w:hint="eastAsia" w:ascii="仿宋" w:hAnsi="仿宋" w:eastAsia="仿宋"/>
          <w:b w:val="0"/>
          <w:bCs w:val="0"/>
          <w:color w:val="auto"/>
          <w:highlight w:val="none"/>
        </w:rPr>
        <w:t>十二、</w:t>
      </w:r>
      <w:bookmarkEnd w:id="88"/>
      <w:r>
        <w:rPr>
          <w:rStyle w:val="22"/>
          <w:rFonts w:hint="eastAsia" w:ascii="仿宋" w:hAnsi="仿宋" w:eastAsia="仿宋"/>
          <w:b w:val="0"/>
          <w:bCs w:val="0"/>
          <w:color w:val="auto"/>
          <w:highlight w:val="none"/>
          <w:lang w:eastAsia="zh-CN"/>
        </w:rPr>
        <w:t>国有资本经营预算财政拨款支出决算表</w:t>
      </w:r>
      <w:bookmarkEnd w:id="89"/>
    </w:p>
    <w:p>
      <w:pPr>
        <w:pStyle w:val="4"/>
        <w:rPr>
          <w:rFonts w:hint="eastAsia" w:ascii="仿宋" w:hAnsi="仿宋" w:eastAsia="仿宋"/>
          <w:b w:val="0"/>
          <w:color w:val="000000"/>
        </w:rPr>
      </w:pPr>
      <w:bookmarkStart w:id="90" w:name="_Toc15396631"/>
      <w:bookmarkStart w:id="91" w:name="_Toc1521"/>
      <w:r>
        <w:rPr>
          <w:rStyle w:val="22"/>
          <w:rFonts w:hint="eastAsia" w:ascii="仿宋" w:hAnsi="仿宋" w:eastAsia="仿宋"/>
          <w:b w:val="0"/>
          <w:bCs w:val="0"/>
          <w:color w:val="auto"/>
          <w:highlight w:val="none"/>
        </w:rPr>
        <w:t>十三、</w:t>
      </w:r>
      <w:bookmarkEnd w:id="90"/>
      <w:r>
        <w:rPr>
          <w:rStyle w:val="22"/>
          <w:rFonts w:hint="eastAsia" w:ascii="仿宋" w:hAnsi="仿宋" w:eastAsia="仿宋"/>
          <w:b w:val="0"/>
          <w:bCs w:val="0"/>
          <w:color w:val="auto"/>
          <w:highlight w:val="none"/>
          <w:lang w:eastAsia="zh-CN"/>
        </w:rPr>
        <w:t>财政拨款“三公”经费支出决算表</w:t>
      </w:r>
      <w:bookmarkEnd w:id="91"/>
    </w:p>
    <w:p>
      <w:pPr>
        <w:pStyle w:val="4"/>
        <w:rPr>
          <w:rFonts w:hint="eastAsia" w:ascii="仿宋" w:hAnsi="仿宋" w:eastAsia="仿宋"/>
          <w:b w:val="0"/>
          <w:color w:val="000000"/>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2402F4E0"/>
    <w:multiLevelType w:val="singleLevel"/>
    <w:tmpl w:val="2402F4E0"/>
    <w:lvl w:ilvl="0" w:tentative="0">
      <w:start w:val="3"/>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ZjVjNTJiOWFlODc5N2UyYmYxMWI5MjE0ZDQyNjUifQ=="/>
  </w:docVars>
  <w:rsids>
    <w:rsidRoot w:val="6504078C"/>
    <w:rsid w:val="00463FFF"/>
    <w:rsid w:val="00AB497A"/>
    <w:rsid w:val="015A3C3C"/>
    <w:rsid w:val="01700269"/>
    <w:rsid w:val="01DE089D"/>
    <w:rsid w:val="02906142"/>
    <w:rsid w:val="037057B0"/>
    <w:rsid w:val="037576B9"/>
    <w:rsid w:val="03C97144"/>
    <w:rsid w:val="042A3CE5"/>
    <w:rsid w:val="05BC0BF8"/>
    <w:rsid w:val="06D96529"/>
    <w:rsid w:val="072D77D5"/>
    <w:rsid w:val="079B7E09"/>
    <w:rsid w:val="08236698"/>
    <w:rsid w:val="09C15590"/>
    <w:rsid w:val="0AB9552D"/>
    <w:rsid w:val="0ADD11E0"/>
    <w:rsid w:val="0B7E67EB"/>
    <w:rsid w:val="0BBE75D4"/>
    <w:rsid w:val="0BE61692"/>
    <w:rsid w:val="0C6B516E"/>
    <w:rsid w:val="0CA230CA"/>
    <w:rsid w:val="0CF87B8D"/>
    <w:rsid w:val="0D2062DE"/>
    <w:rsid w:val="0DEF2F72"/>
    <w:rsid w:val="0F871B88"/>
    <w:rsid w:val="10E00EC0"/>
    <w:rsid w:val="113E3458"/>
    <w:rsid w:val="123371E8"/>
    <w:rsid w:val="14C57522"/>
    <w:rsid w:val="151F30B3"/>
    <w:rsid w:val="181A1F4D"/>
    <w:rsid w:val="19532B19"/>
    <w:rsid w:val="1A487BAE"/>
    <w:rsid w:val="1A491DAC"/>
    <w:rsid w:val="1AF12C43"/>
    <w:rsid w:val="1BA36B65"/>
    <w:rsid w:val="1DAF11C4"/>
    <w:rsid w:val="1DCF493A"/>
    <w:rsid w:val="1F693A18"/>
    <w:rsid w:val="200A35A2"/>
    <w:rsid w:val="20454680"/>
    <w:rsid w:val="21380790"/>
    <w:rsid w:val="21F67DC0"/>
    <w:rsid w:val="2411343C"/>
    <w:rsid w:val="2537321F"/>
    <w:rsid w:val="25E023B3"/>
    <w:rsid w:val="25FD21AB"/>
    <w:rsid w:val="267912AC"/>
    <w:rsid w:val="26DE5BEE"/>
    <w:rsid w:val="275C3465"/>
    <w:rsid w:val="28367544"/>
    <w:rsid w:val="283D6877"/>
    <w:rsid w:val="285E01C8"/>
    <w:rsid w:val="2C247E99"/>
    <w:rsid w:val="2CD803A2"/>
    <w:rsid w:val="2D79212A"/>
    <w:rsid w:val="2E02460C"/>
    <w:rsid w:val="2E086516"/>
    <w:rsid w:val="2F32147B"/>
    <w:rsid w:val="2F332780"/>
    <w:rsid w:val="2F391C13"/>
    <w:rsid w:val="30806632"/>
    <w:rsid w:val="31056DF8"/>
    <w:rsid w:val="32354F6B"/>
    <w:rsid w:val="33A44248"/>
    <w:rsid w:val="33CC3D88"/>
    <w:rsid w:val="341579FF"/>
    <w:rsid w:val="344F2C85"/>
    <w:rsid w:val="34AA3776"/>
    <w:rsid w:val="352B4FC9"/>
    <w:rsid w:val="3654172E"/>
    <w:rsid w:val="367407E3"/>
    <w:rsid w:val="36751AE8"/>
    <w:rsid w:val="374C04C6"/>
    <w:rsid w:val="38022573"/>
    <w:rsid w:val="3A4876C0"/>
    <w:rsid w:val="3A9E14C4"/>
    <w:rsid w:val="3AC84000"/>
    <w:rsid w:val="3B15087C"/>
    <w:rsid w:val="3C0C3393"/>
    <w:rsid w:val="3C75173D"/>
    <w:rsid w:val="3D2739F3"/>
    <w:rsid w:val="3DBF625C"/>
    <w:rsid w:val="3E4169FF"/>
    <w:rsid w:val="3EBD06DF"/>
    <w:rsid w:val="3F9A05DB"/>
    <w:rsid w:val="3FF17476"/>
    <w:rsid w:val="40BB4940"/>
    <w:rsid w:val="41313685"/>
    <w:rsid w:val="413260C8"/>
    <w:rsid w:val="42C4601A"/>
    <w:rsid w:val="43254DBA"/>
    <w:rsid w:val="43A24383"/>
    <w:rsid w:val="43D17451"/>
    <w:rsid w:val="445F7FB9"/>
    <w:rsid w:val="4490400C"/>
    <w:rsid w:val="44B55220"/>
    <w:rsid w:val="44E516B2"/>
    <w:rsid w:val="46626485"/>
    <w:rsid w:val="46F53476"/>
    <w:rsid w:val="47BD0CAB"/>
    <w:rsid w:val="488F3217"/>
    <w:rsid w:val="4ABE4B31"/>
    <w:rsid w:val="4BB20330"/>
    <w:rsid w:val="4BC13445"/>
    <w:rsid w:val="4C095321"/>
    <w:rsid w:val="4C2D3C0D"/>
    <w:rsid w:val="4C496836"/>
    <w:rsid w:val="4E781049"/>
    <w:rsid w:val="4E834E5B"/>
    <w:rsid w:val="4ED02D5C"/>
    <w:rsid w:val="4F30407B"/>
    <w:rsid w:val="4FBF2665"/>
    <w:rsid w:val="50FB45EB"/>
    <w:rsid w:val="51E82C90"/>
    <w:rsid w:val="51FD7691"/>
    <w:rsid w:val="52E96395"/>
    <w:rsid w:val="532B43FA"/>
    <w:rsid w:val="53884C19"/>
    <w:rsid w:val="539C5E38"/>
    <w:rsid w:val="555D389B"/>
    <w:rsid w:val="555E131C"/>
    <w:rsid w:val="566A2F42"/>
    <w:rsid w:val="56774470"/>
    <w:rsid w:val="56EE2D2C"/>
    <w:rsid w:val="56F142A1"/>
    <w:rsid w:val="579953C3"/>
    <w:rsid w:val="59342BE6"/>
    <w:rsid w:val="5ABD4C6C"/>
    <w:rsid w:val="5ACA1D83"/>
    <w:rsid w:val="5B294982"/>
    <w:rsid w:val="5B2D4026"/>
    <w:rsid w:val="5B394EC5"/>
    <w:rsid w:val="5C464AF3"/>
    <w:rsid w:val="5CBF0F39"/>
    <w:rsid w:val="5D3E75DF"/>
    <w:rsid w:val="5D4C079D"/>
    <w:rsid w:val="5E893A28"/>
    <w:rsid w:val="5F261328"/>
    <w:rsid w:val="5F7858AF"/>
    <w:rsid w:val="5FF94F03"/>
    <w:rsid w:val="60FE69AF"/>
    <w:rsid w:val="613B2F91"/>
    <w:rsid w:val="623F2BBF"/>
    <w:rsid w:val="6337505A"/>
    <w:rsid w:val="63531402"/>
    <w:rsid w:val="63FC040C"/>
    <w:rsid w:val="6504078C"/>
    <w:rsid w:val="66583C79"/>
    <w:rsid w:val="669D5667"/>
    <w:rsid w:val="66D04BBC"/>
    <w:rsid w:val="67585D9A"/>
    <w:rsid w:val="68DC276A"/>
    <w:rsid w:val="68E66079"/>
    <w:rsid w:val="6A98403C"/>
    <w:rsid w:val="6B769DA4"/>
    <w:rsid w:val="6D016666"/>
    <w:rsid w:val="6D3909BE"/>
    <w:rsid w:val="6EB227A9"/>
    <w:rsid w:val="6FFC72C8"/>
    <w:rsid w:val="723E657D"/>
    <w:rsid w:val="724A458E"/>
    <w:rsid w:val="726E3979"/>
    <w:rsid w:val="728A2DF9"/>
    <w:rsid w:val="72E13004"/>
    <w:rsid w:val="736F68EF"/>
    <w:rsid w:val="747D4DEF"/>
    <w:rsid w:val="75984C7A"/>
    <w:rsid w:val="75D06459"/>
    <w:rsid w:val="75DE0150"/>
    <w:rsid w:val="760865B3"/>
    <w:rsid w:val="76396D82"/>
    <w:rsid w:val="76DC7890"/>
    <w:rsid w:val="774A7EC4"/>
    <w:rsid w:val="77A108D3"/>
    <w:rsid w:val="77C94015"/>
    <w:rsid w:val="78497DE7"/>
    <w:rsid w:val="788E4A9C"/>
    <w:rsid w:val="79025017"/>
    <w:rsid w:val="79B788E9"/>
    <w:rsid w:val="79BF0C4D"/>
    <w:rsid w:val="7BAD4BF5"/>
    <w:rsid w:val="7C993579"/>
    <w:rsid w:val="7D1D4FBB"/>
    <w:rsid w:val="7DA008A8"/>
    <w:rsid w:val="7E2D398F"/>
    <w:rsid w:val="7EA82D87"/>
    <w:rsid w:val="7FC94A35"/>
    <w:rsid w:val="7FCC59BA"/>
    <w:rsid w:val="7FEB6C16"/>
    <w:rsid w:val="B7DF065C"/>
    <w:rsid w:val="FEF7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Cambria" w:hAnsi="Cambria"/>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24"/>
      <w:szCs w:val="20"/>
    </w:rPr>
  </w:style>
  <w:style w:type="paragraph" w:styleId="5">
    <w:name w:val="index 5"/>
    <w:basedOn w:val="1"/>
    <w:next w:val="1"/>
    <w:qFormat/>
    <w:uiPriority w:val="0"/>
    <w:pPr>
      <w:ind w:left="1680"/>
    </w:pPr>
  </w:style>
  <w:style w:type="paragraph" w:styleId="6">
    <w:name w:val="Salutation"/>
    <w:basedOn w:val="1"/>
    <w:next w:val="1"/>
    <w:unhideWhenUsed/>
    <w:qFormat/>
    <w:uiPriority w:val="99"/>
  </w:style>
  <w:style w:type="paragraph" w:styleId="7">
    <w:name w:val="Body Text Indent"/>
    <w:basedOn w:val="1"/>
    <w:qFormat/>
    <w:uiPriority w:val="0"/>
    <w:pPr>
      <w:spacing w:line="560" w:lineRule="exact"/>
      <w:ind w:firstLine="640" w:firstLineChars="200"/>
    </w:pPr>
  </w:style>
  <w:style w:type="paragraph" w:styleId="8">
    <w:name w:val="toc 5"/>
    <w:basedOn w:val="1"/>
    <w:next w:val="1"/>
    <w:qFormat/>
    <w:uiPriority w:val="0"/>
    <w:pPr>
      <w:ind w:left="1680"/>
    </w:pPr>
    <w:rPr>
      <w:rFonts w:ascii="黑体" w:eastAsia="黑体"/>
      <w:sz w:val="32"/>
      <w:szCs w:val="32"/>
    </w:rPr>
  </w:style>
  <w:style w:type="paragraph" w:styleId="9">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unhideWhenUsed/>
    <w:qFormat/>
    <w:uiPriority w:val="39"/>
    <w:pPr>
      <w:spacing w:before="120"/>
      <w:jc w:val="left"/>
    </w:pPr>
    <w:rPr>
      <w:rFonts w:ascii="等线" w:eastAsia="等线"/>
      <w:b/>
      <w:bCs/>
      <w:i/>
      <w:iCs/>
      <w:sz w:val="24"/>
    </w:rPr>
  </w:style>
  <w:style w:type="paragraph" w:styleId="12">
    <w:name w:val="toc 2"/>
    <w:basedOn w:val="1"/>
    <w:next w:val="1"/>
    <w:unhideWhenUsed/>
    <w:qFormat/>
    <w:uiPriority w:val="39"/>
    <w:pPr>
      <w:spacing w:before="120"/>
      <w:ind w:left="300"/>
      <w:jc w:val="left"/>
    </w:pPr>
    <w:rPr>
      <w:rFonts w:ascii="等线" w:eastAsia="等线"/>
      <w:b/>
      <w:bCs/>
      <w:sz w:val="22"/>
      <w:szCs w:val="22"/>
    </w:rPr>
  </w:style>
  <w:style w:type="paragraph" w:styleId="13">
    <w:name w:val="Body Text First Indent 2"/>
    <w:basedOn w:val="7"/>
    <w:next w:val="5"/>
    <w:qFormat/>
    <w:uiPriority w:val="0"/>
    <w:pPr>
      <w:spacing w:after="120" w:line="240" w:lineRule="auto"/>
      <w:ind w:left="420" w:leftChars="200" w:firstLine="420"/>
    </w:pPr>
  </w:style>
  <w:style w:type="character" w:styleId="16">
    <w:name w:val="Strong"/>
    <w:basedOn w:val="15"/>
    <w:qFormat/>
    <w:uiPriority w:val="99"/>
    <w:rPr>
      <w:rFonts w:cs="Times New Roman"/>
      <w:b/>
    </w:rPr>
  </w:style>
  <w:style w:type="character" w:styleId="17">
    <w:name w:val="Hyperlink"/>
    <w:unhideWhenUsed/>
    <w:qFormat/>
    <w:uiPriority w:val="99"/>
    <w:rPr>
      <w:color w:val="0000FF"/>
      <w:u w:val="single"/>
    </w:rPr>
  </w:style>
  <w:style w:type="character" w:customStyle="1" w:styleId="18">
    <w:name w:val=" Char Char6"/>
    <w:basedOn w:val="15"/>
    <w:link w:val="3"/>
    <w:qFormat/>
    <w:locked/>
    <w:uiPriority w:val="9"/>
    <w:rPr>
      <w:b/>
      <w:bCs/>
      <w:kern w:val="44"/>
      <w:sz w:val="44"/>
      <w:szCs w:val="44"/>
    </w:rPr>
  </w:style>
  <w:style w:type="character" w:customStyle="1" w:styleId="19">
    <w:name w:val=" Char Char5"/>
    <w:basedOn w:val="15"/>
    <w:link w:val="4"/>
    <w:qFormat/>
    <w:locked/>
    <w:uiPriority w:val="9"/>
    <w:rPr>
      <w:rFonts w:ascii="Cambria" w:hAnsi="Cambria"/>
      <w:b/>
      <w:bCs/>
      <w:sz w:val="32"/>
      <w:szCs w:val="32"/>
    </w:rPr>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2">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Microsoft%20Excel%202007%20&#24037;&#20316;&#34920;%20(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Microsoft%20Excel%202007%20&#24037;&#20316;&#34920;%20(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Microsoft%20Excel%202007%20&#24037;&#20316;&#34920;%20(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Microsoft%20Excel%202007%20&#24037;&#20316;&#34920;%20(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915;&#31639;&#20844;&#24320;&#25152;&#38656;&#34920;&#2668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915;&#31639;&#20844;&#24320;&#25152;&#38656;&#34920;&#26684;.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915;&#31639;&#20844;&#24320;&#25152;&#38656;&#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Microsoft Excel 2007 工作表 (2).xlsx]收、支决算总计变动情况表'!$D$3</c:f>
              <c:strCache>
                <c:ptCount val="1"/>
                <c:pt idx="0">
                  <c:v>收、支决算总计变动情况表</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Excel 2007 工作表 (2).xlsx]收、支决算总计变动情况表'!$C$4:$C$5</c:f>
              <c:strCache>
                <c:ptCount val="2"/>
                <c:pt idx="0">
                  <c:v>2021年</c:v>
                </c:pt>
                <c:pt idx="1">
                  <c:v>2022年</c:v>
                </c:pt>
              </c:strCache>
            </c:strRef>
          </c:cat>
          <c:val>
            <c:numRef>
              <c:f>'[新建 Microsoft Excel 2007 工作表 (2).xlsx]收、支决算总计变动情况表'!$D$4:$D$5</c:f>
              <c:numCache>
                <c:formatCode>General</c:formatCode>
                <c:ptCount val="2"/>
                <c:pt idx="0">
                  <c:v>3346.24</c:v>
                </c:pt>
                <c:pt idx="1">
                  <c:v>4528.17</c:v>
                </c:pt>
              </c:numCache>
            </c:numRef>
          </c:val>
        </c:ser>
        <c:dLbls>
          <c:showLegendKey val="0"/>
          <c:showVal val="1"/>
          <c:showCatName val="0"/>
          <c:showSerName val="0"/>
          <c:showPercent val="0"/>
          <c:showBubbleSize val="0"/>
        </c:dLbls>
        <c:gapWidth val="219"/>
        <c:overlap val="-27"/>
        <c:axId val="976559151"/>
        <c:axId val="608549336"/>
      </c:barChart>
      <c:catAx>
        <c:axId val="976559151"/>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8549336"/>
        <c:crosses val="autoZero"/>
        <c:auto val="1"/>
        <c:lblAlgn val="ctr"/>
        <c:lblOffset val="100"/>
        <c:noMultiLvlLbl val="0"/>
      </c:catAx>
      <c:valAx>
        <c:axId val="608549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65591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874609929078014"/>
          <c:y val="0.267707367336425"/>
          <c:w val="0.825078014184397"/>
          <c:h val="0.635631117980422"/>
        </c:manualLayout>
      </c:layout>
      <c:pie3DChart>
        <c:varyColors val="1"/>
        <c:ser>
          <c:idx val="0"/>
          <c:order val="0"/>
          <c:tx>
            <c:strRef>
              <c:f>'[新建 Microsoft Excel 2007 工作表 (2).xlsx]Sheet2'!$E$3</c:f>
              <c:strCache>
                <c:ptCount val="1"/>
                <c:pt idx="0">
                  <c:v>收入决算结构图</c:v>
                </c:pt>
              </c:strCache>
            </c:strRef>
          </c:tx>
          <c:spPr>
            <a:scene3d>
              <a:camera prst="orthographicFront"/>
              <a:lightRig rig="threePt" dir="t"/>
            </a:scene3d>
            <a:sp3d contourW="9525"/>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ontourW="9525"/>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一般公共预算财政拨款收入4188.96万元</a:t>
                    </a:r>
                  </a:p>
                </c:rich>
              </c:tx>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0.26093085106383"/>
                  <c:y val="0.0610510046367852"/>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经营收入107.47万元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220345744680851"/>
                  <c:y val="0.0287356937270734"/>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其他收入</a:t>
                    </a:r>
                  </a:p>
                  <a:p>
                    <a:pPr defTabSz="914400">
                      <a:defRPr lang="zh-CN" sz="1000" b="1" i="0" u="none" strike="noStrike" kern="1200" baseline="0">
                        <a:solidFill>
                          <a:schemeClr val="lt1"/>
                        </a:solidFill>
                        <a:latin typeface="+mn-lt"/>
                        <a:ea typeface="+mn-ea"/>
                        <a:cs typeface="+mn-cs"/>
                      </a:defRPr>
                    </a:pPr>
                    <a:r>
                      <a:t>22.72万元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'[新建 Microsoft Excel 2007 工作表 (2).xlsx]Sheet2'!$D$4:$D$6</c:f>
              <c:strCache>
                <c:ptCount val="3"/>
                <c:pt idx="0">
                  <c:v>一般公共预算财政拨款收入</c:v>
                </c:pt>
                <c:pt idx="1">
                  <c:v>经营收入</c:v>
                </c:pt>
                <c:pt idx="2">
                  <c:v>其他收入</c:v>
                </c:pt>
              </c:strCache>
            </c:strRef>
          </c:cat>
          <c:val>
            <c:numRef>
              <c:f>'[新建 Microsoft Excel 2007 工作表 (2).xlsx]Sheet2'!$E$4:$E$6</c:f>
              <c:numCache>
                <c:formatCode>General</c:formatCode>
                <c:ptCount val="3"/>
                <c:pt idx="0">
                  <c:v>4188.96</c:v>
                </c:pt>
                <c:pt idx="1">
                  <c:v>107.47</c:v>
                </c:pt>
                <c:pt idx="2">
                  <c:v>22.72</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支出决算结构图</a:t>
            </a:r>
            <a:endParaRPr sz="1800" b="1"/>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875"/>
          <c:y val="0.201388888888889"/>
          <c:w val="0.781388888888889"/>
          <c:h val="0.750462962962963"/>
        </c:manualLayout>
      </c:layout>
      <c:pie3DChart>
        <c:varyColors val="1"/>
        <c:ser>
          <c:idx val="0"/>
          <c:order val="0"/>
          <c:tx>
            <c:strRef>
              <c:f>'[新建 Microsoft Excel 2007 工作表 (2).xlsx]支出决算结构图'!$D$4</c:f>
              <c:strCache>
                <c:ptCount val="1"/>
                <c:pt idx="0">
                  <c:v>支出决算结构图</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dLbl>
              <c:idx val="0"/>
              <c:layout>
                <c:manualLayout>
                  <c:x val="-0.0611658525027052"/>
                  <c:y val="-0.16747268997598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基本支出, 2108.01万元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
                  <c:y val="-0.30397990160557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项目支出, 2105.08万元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741504900722684"/>
                  <c:y val="0.004703446074793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经营支出 94.66万元</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141666666666667"/>
                      <c:h val="0.12569444444444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Excel 2007 工作表 (2).xlsx]支出决算结构图'!$C$5:$C$7</c:f>
              <c:strCache>
                <c:ptCount val="3"/>
                <c:pt idx="0">
                  <c:v>基本支出</c:v>
                </c:pt>
                <c:pt idx="1">
                  <c:v>项目支出</c:v>
                </c:pt>
                <c:pt idx="2">
                  <c:v>经营支出</c:v>
                </c:pt>
              </c:strCache>
            </c:strRef>
          </c:cat>
          <c:val>
            <c:numRef>
              <c:f>'[新建 Microsoft Excel 2007 工作表 (2).xlsx]支出决算结构图'!$D$5:$D$7</c:f>
              <c:numCache>
                <c:formatCode>General</c:formatCode>
                <c:ptCount val="3"/>
                <c:pt idx="0">
                  <c:v>2108.01</c:v>
                </c:pt>
                <c:pt idx="1">
                  <c:v>2105.08</c:v>
                </c:pt>
                <c:pt idx="2">
                  <c:v>94.66</c:v>
                </c:pt>
              </c:numCache>
            </c:numRef>
          </c:val>
        </c:ser>
        <c:dLbls>
          <c:showLegendKey val="0"/>
          <c:showVal val="1"/>
          <c:showCatName val="1"/>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853611111111111"/>
          <c:y val="0.176388888888889"/>
          <c:w val="0.882"/>
          <c:h val="0.606805555555556"/>
        </c:manualLayout>
      </c:layout>
      <c:barChart>
        <c:barDir val="col"/>
        <c:grouping val="clustered"/>
        <c:varyColors val="0"/>
        <c:ser>
          <c:idx val="0"/>
          <c:order val="0"/>
          <c:tx>
            <c:strRef>
              <c:f>'[新建 Microsoft Excel 2007 工作表 (2).xlsx]财政拨款收、支决算总计变动情况'!$D$3</c:f>
              <c:strCache>
                <c:ptCount val="1"/>
                <c:pt idx="0">
                  <c:v>财政拨款收、支决算总计变动情况</c:v>
                </c:pt>
              </c:strCache>
            </c:strRef>
          </c:tx>
          <c:spPr>
            <a:solidFill>
              <a:schemeClr val="accent1"/>
            </a:solidFill>
            <a:ln>
              <a:noFill/>
            </a:ln>
            <a:effectLst/>
          </c:spPr>
          <c:invertIfNegative val="0"/>
          <c:dLbls>
            <c:dLbl>
              <c:idx val="0"/>
              <c:layout>
                <c:manualLayout>
                  <c:x val="0.00208333333333333"/>
                  <c:y val="-0.118055555555556"/>
                </c:manualLayout>
              </c:layout>
              <c:dLblPos val="inEnd"/>
              <c:showLegendKey val="0"/>
              <c:showVal val="1"/>
              <c:showCatName val="0"/>
              <c:showSerName val="0"/>
              <c:showPercent val="0"/>
              <c:showBubbleSize val="0"/>
              <c:extLst>
                <c:ext xmlns:c15="http://schemas.microsoft.com/office/drawing/2012/chart" uri="{CE6537A1-D6FC-4f65-9D91-7224C49458BB}">
                  <c15:layout>
                    <c:manualLayout>
                      <c:w val="0.09875"/>
                      <c:h val="0.11875"/>
                    </c:manualLayout>
                  </c15:layout>
                </c:ext>
              </c:extLst>
            </c:dLbl>
            <c:dLbl>
              <c:idx val="1"/>
              <c:layout>
                <c:manualLayout>
                  <c:x val="0"/>
                  <c:y val="-0.100694444444444"/>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Excel 2007 工作表 (2).xlsx]财政拨款收、支决算总计变动情况'!$C$4:$C$5</c:f>
              <c:strCache>
                <c:ptCount val="2"/>
                <c:pt idx="0">
                  <c:v>2021年</c:v>
                </c:pt>
                <c:pt idx="1">
                  <c:v>2022年</c:v>
                </c:pt>
              </c:strCache>
            </c:strRef>
          </c:cat>
          <c:val>
            <c:numRef>
              <c:f>'[新建 Microsoft Excel 2007 工作表 (2).xlsx]财政拨款收、支决算总计变动情况'!$D$4:$D$5</c:f>
              <c:numCache>
                <c:formatCode>General</c:formatCode>
                <c:ptCount val="2"/>
                <c:pt idx="0">
                  <c:v>2972.26</c:v>
                </c:pt>
                <c:pt idx="1">
                  <c:v>4188.96</c:v>
                </c:pt>
              </c:numCache>
            </c:numRef>
          </c:val>
        </c:ser>
        <c:dLbls>
          <c:showLegendKey val="0"/>
          <c:showVal val="1"/>
          <c:showCatName val="0"/>
          <c:showSerName val="0"/>
          <c:showPercent val="0"/>
          <c:showBubbleSize val="0"/>
        </c:dLbls>
        <c:gapWidth val="219"/>
        <c:overlap val="-27"/>
        <c:axId val="708143790"/>
        <c:axId val="126383892"/>
      </c:barChart>
      <c:catAx>
        <c:axId val="70814379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383892"/>
        <c:crosses val="autoZero"/>
        <c:auto val="1"/>
        <c:lblAlgn val="ctr"/>
        <c:lblOffset val="100"/>
        <c:noMultiLvlLbl val="0"/>
      </c:catAx>
      <c:valAx>
        <c:axId val="1263838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814379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[决算公开所需表格.xlsx]一般公共预算财政拨款支出决算变动情况!$C$2</c:f>
              <c:strCache>
                <c:ptCount val="1"/>
                <c:pt idx="0">
                  <c:v>一般公共预算财政拨款支出决算变动情况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[决算公开所需表格.xlsx]一般公共预算财政拨款支出决算变动情况!$B$3:$B$4</c:f>
              <c:strCache>
                <c:ptCount val="2"/>
                <c:pt idx="0">
                  <c:v>2021年</c:v>
                </c:pt>
                <c:pt idx="1">
                  <c:v>2022年</c:v>
                </c:pt>
              </c:strCache>
            </c:strRef>
          </c:cat>
          <c:val>
            <c:numRef>
              <c:f>[决算公开所需表格.xlsx]一般公共预算财政拨款支出决算变动情况!$C$3:$C$4</c:f>
              <c:numCache>
                <c:formatCode>General</c:formatCode>
                <c:ptCount val="2"/>
                <c:pt idx="0">
                  <c:v>2972.26</c:v>
                </c:pt>
                <c:pt idx="1">
                  <c:v>4188.96</c:v>
                </c:pt>
              </c:numCache>
            </c:numRef>
          </c:val>
        </c:ser>
        <c:dLbls>
          <c:showLegendKey val="0"/>
          <c:showVal val="1"/>
          <c:showCatName val="0"/>
          <c:showSerName val="0"/>
          <c:showPercent val="0"/>
          <c:showBubbleSize val="0"/>
        </c:dLbls>
        <c:gapWidth val="219"/>
        <c:overlap val="-27"/>
        <c:axId val="692233572"/>
        <c:axId val="340053840"/>
      </c:barChart>
      <c:catAx>
        <c:axId val="69223357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0053840"/>
        <c:crosses val="autoZero"/>
        <c:auto val="1"/>
        <c:lblAlgn val="ctr"/>
        <c:lblOffset val="100"/>
        <c:noMultiLvlLbl val="0"/>
      </c:catAx>
      <c:valAx>
        <c:axId val="34005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2335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600"/>
              <a:t>一般公共预算财政拨款支出决算结构</a:t>
            </a:r>
            <a:endParaRPr sz="1600"/>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83185628742515"/>
          <c:y val="0.198979206049149"/>
          <c:w val="0.83362874251497"/>
          <c:h val="0.708657844990548"/>
        </c:manualLayout>
      </c:layout>
      <c:pie3DChart>
        <c:varyColors val="1"/>
        <c:ser>
          <c:idx val="0"/>
          <c:order val="0"/>
          <c:tx>
            <c:strRef>
              <c:f>[决算公开所需表格.xlsx]一般公共预算财政拨款支出决算结构!$C$2</c:f>
              <c:strCache>
                <c:ptCount val="1"/>
                <c:pt idx="0">
                  <c:v>一般公共预算财政拨款支出决算结构</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dLbl>
              <c:idx val="0"/>
              <c:layout>
                <c:manualLayout>
                  <c:x val="0.218428325762524"/>
                  <c:y val="-0.048744834153624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文化旅游体育与传媒支出, 3896.38万元</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38313133811526"/>
                      <c:h val="0.163738738738739"/>
                    </c:manualLayout>
                  </c15:layout>
                </c:ext>
              </c:extLst>
            </c:dLbl>
            <c:dLbl>
              <c:idx val="1"/>
              <c:layout>
                <c:manualLayout>
                  <c:x val="-0.227083333333333"/>
                  <c:y val="0.0937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社会保障和就业支出, 217.13万元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958333333333333"/>
                  <c:y val="-0.0034722222222222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卫生健康支出, 30.5万元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20833333333333"/>
                  <c:y val="-0.010416666666666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住房保障支出, 43.57万元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3"/>
                  <c:y val="0.059027777777777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科学技术支出, 1.4万元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[决算公开所需表格.xlsx]一般公共预算财政拨款支出决算结构!$B$3:$B$7</c:f>
              <c:strCache>
                <c:ptCount val="5"/>
                <c:pt idx="0">
                  <c:v>文化旅游体育与传媒支出</c:v>
                </c:pt>
                <c:pt idx="1">
                  <c:v>社会保障和就业支出</c:v>
                </c:pt>
                <c:pt idx="2">
                  <c:v>卫生健康支出</c:v>
                </c:pt>
                <c:pt idx="3">
                  <c:v>住房保障支出</c:v>
                </c:pt>
                <c:pt idx="4">
                  <c:v>科学技术支出</c:v>
                </c:pt>
              </c:strCache>
            </c:strRef>
          </c:cat>
          <c:val>
            <c:numRef>
              <c:f>[决算公开所需表格.xlsx]一般公共预算财政拨款支出决算结构!$C$3:$C$7</c:f>
              <c:numCache>
                <c:formatCode>General</c:formatCode>
                <c:ptCount val="5"/>
                <c:pt idx="0">
                  <c:v>3896.38</c:v>
                </c:pt>
                <c:pt idx="1">
                  <c:v>217.13</c:v>
                </c:pt>
                <c:pt idx="2">
                  <c:v>30.5</c:v>
                </c:pt>
                <c:pt idx="3">
                  <c:v>43.57</c:v>
                </c:pt>
                <c:pt idx="4">
                  <c:v>1.4</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[决算公开所需表格.xlsx]“三公”经费财政拨款支出结构!$C$2</c:f>
              <c:strCache>
                <c:ptCount val="1"/>
                <c:pt idx="0">
                  <c:v>“三公”经费财政拨款支出结构</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dLbl>
              <c:idx val="2"/>
              <c:layout/>
              <c:dLblPos val="inEnd"/>
              <c:showLegendKey val="0"/>
              <c:showVal val="1"/>
              <c:showCatName val="1"/>
              <c:showSerName val="0"/>
              <c:showPercent val="0"/>
              <c:showBubbleSize val="0"/>
              <c:extLst>
                <c:ext xmlns:c15="http://schemas.microsoft.com/office/drawing/2012/chart" uri="{CE6537A1-D6FC-4f65-9D91-7224C49458BB}">
                  <c15:layout>
                    <c:manualLayout>
                      <c:w val="0.219313200194837"/>
                      <c:h val="0.099805258033106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[决算公开所需表格.xlsx]“三公”经费财政拨款支出结构!$B$3:$B$5</c:f>
              <c:strCache>
                <c:ptCount val="3"/>
                <c:pt idx="0">
                  <c:v>因公出国（境）费</c:v>
                </c:pt>
                <c:pt idx="1">
                  <c:v>公务用车购置及运行维护费</c:v>
                </c:pt>
                <c:pt idx="2">
                  <c:v>公务接待费</c:v>
                </c:pt>
              </c:strCache>
            </c:strRef>
          </c:cat>
          <c:val>
            <c:numRef>
              <c:f>[决算公开所需表格.xlsx]“三公”经费财政拨款支出结构!$C$3:$C$5</c:f>
              <c:numCache>
                <c:formatCode>General</c:formatCode>
                <c:ptCount val="3"/>
                <c:pt idx="0">
                  <c:v>0</c:v>
                </c:pt>
                <c:pt idx="1">
                  <c:v>1.75</c:v>
                </c:pt>
                <c:pt idx="2">
                  <c:v>1.81</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18051</Words>
  <Characters>20203</Characters>
  <Lines>0</Lines>
  <Paragraphs>0</Paragraphs>
  <TotalTime>185</TotalTime>
  <ScaleCrop>false</ScaleCrop>
  <LinksUpToDate>false</LinksUpToDate>
  <CharactersWithSpaces>20323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2021-09-10T03:29:00Z</dcterms:created>
  <dc:creator>Administrator</dc:creator>
  <cp:lastModifiedBy>云治</cp:lastModifiedBy>
  <dcterms:modified xsi:type="dcterms:W3CDTF">2023-10-17T07:08:54Z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6EFE99D8DEDD4C8F99043B02739C932F_13</vt:lpwstr>
  </property>
</Properties>
</file>