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bookmarkStart w:id="0" w:name="_Toc15396597"/>
      <w:bookmarkStart w:id="1" w:name="_Toc15378441"/>
      <w:bookmarkStart w:id="2" w:name="_Toc15377193"/>
      <w:bookmarkStart w:id="3" w:name="_Toc15396475"/>
      <w:bookmarkStart w:id="4" w:name="_Toc15377425"/>
      <w:bookmarkStart w:id="5" w:name="_Toc15306267"/>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96476"/>
      <w:bookmarkStart w:id="8" w:name="_Toc15377426"/>
      <w:bookmarkStart w:id="9" w:name="_Toc15396598"/>
      <w:bookmarkStart w:id="10" w:name="_Toc15378442"/>
      <w:r>
        <w:rPr>
          <w:rFonts w:hint="default"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自贡恐龙博物馆</w:t>
      </w: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default"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pPr>
        <w:widowControl/>
        <w:jc w:val="center"/>
        <w:rPr>
          <w:rFonts w:hint="default" w:ascii="Times New Roman" w:hAnsi="Times New Roman" w:eastAsia="黑体" w:cs="Times New Roman"/>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14"/>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bookmarkStart w:id="107" w:name="_GoBack"/>
      <w:bookmarkEnd w:id="107"/>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w:t>
      </w:r>
    </w:p>
    <w:p>
      <w:pPr>
        <w:rPr>
          <w:rFonts w:hint="default" w:ascii="Times New Roman" w:hAnsi="Times New Roman" w:cs="Times New Roman"/>
          <w:color w:val="auto"/>
          <w:highlight w:val="none"/>
        </w:rPr>
      </w:pPr>
    </w:p>
    <w:sdt>
      <w:sdtPr>
        <w:rPr>
          <w:rFonts w:hint="default" w:ascii="Times New Roman" w:hAnsi="Times New Roman" w:eastAsia="宋体" w:cs="Times New Roman"/>
          <w:kern w:val="2"/>
          <w:sz w:val="21"/>
          <w:szCs w:val="24"/>
          <w:lang w:val="en-US" w:eastAsia="zh-CN" w:bidi="ar-SA"/>
        </w:rPr>
        <w:id w:val="147470608"/>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rPr>
          </w:pPr>
          <w:bookmarkStart w:id="12" w:name="_Toc15396599"/>
          <w:bookmarkStart w:id="13" w:name="_Toc15377196"/>
        </w:p>
        <w:p>
          <w:pPr>
            <w:pStyle w:val="14"/>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fldChar w:fldCharType="begin"/>
          </w:r>
          <w:r>
            <w:instrText xml:space="preserve"> HYPERLINK \l "_Toc22660" </w:instrText>
          </w:r>
          <w:r>
            <w:fldChar w:fldCharType="separate"/>
          </w:r>
          <w:r>
            <w:rPr>
              <w:rFonts w:hint="default" w:ascii="Times New Roman" w:hAnsi="Times New Roman" w:eastAsia="黑体" w:cs="Times New Roman"/>
              <w:sz w:val="32"/>
              <w:szCs w:val="32"/>
            </w:rPr>
            <w:t>第一部分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概况</w:t>
          </w:r>
          <w:r>
            <w:rPr>
              <w:rFonts w:hint="default" w:ascii="Times New Roman" w:hAnsi="Times New Roman" w:eastAsia="黑体" w:cs="Times New Roman"/>
              <w:sz w:val="32"/>
              <w:szCs w:val="32"/>
            </w:rPr>
            <w:tab/>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cs="Times New Roman"/>
              <w:sz w:val="32"/>
              <w:szCs w:val="32"/>
              <w:lang w:val="en-US" w:eastAsia="zh-CN"/>
            </w:rPr>
          </w:pPr>
          <w:r>
            <w:fldChar w:fldCharType="begin"/>
          </w:r>
          <w:r>
            <w:instrText xml:space="preserve"> HYPERLINK \l "_Toc23762" </w:instrText>
          </w:r>
          <w:r>
            <w:fldChar w:fldCharType="separate"/>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default" w:ascii="Times New Roman" w:hAnsi="Times New Roman" w:cs="Times New Roman"/>
              <w:sz w:val="32"/>
              <w:szCs w:val="32"/>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_Toc23762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cs="Times New Roman"/>
              <w:sz w:val="32"/>
              <w:szCs w:val="32"/>
            </w:rPr>
          </w:pPr>
          <w:r>
            <w:fldChar w:fldCharType="begin"/>
          </w:r>
          <w:r>
            <w:instrText xml:space="preserve"> HYPERLINK \l "_Toc343" </w:instrText>
          </w:r>
          <w:r>
            <w:fldChar w:fldCharType="separate"/>
          </w:r>
          <w:r>
            <w:rPr>
              <w:rFonts w:hint="default" w:ascii="Times New Roman" w:hAnsi="Times New Roman" w:eastAsia="仿宋_GB2312" w:cs="Times New Roman"/>
              <w:color w:val="auto"/>
              <w:sz w:val="32"/>
              <w:szCs w:val="32"/>
              <w:highlight w:val="none"/>
            </w:rPr>
            <w:t>二、机构设置</w:t>
          </w:r>
          <w:r>
            <w:rPr>
              <w:rFonts w:hint="default" w:ascii="Times New Roman" w:hAnsi="Times New Roman" w:cs="Times New Roman"/>
              <w:sz w:val="32"/>
              <w:szCs w:val="32"/>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_Toc343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2</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4"/>
            <w:tabs>
              <w:tab w:val="right" w:leader="dot" w:pos="8306"/>
              <w:tab w:val="clear" w:pos="8296"/>
            </w:tabs>
            <w:rPr>
              <w:rFonts w:hint="default" w:ascii="Times New Roman" w:hAnsi="Times New Roman" w:eastAsia="黑体" w:cs="Times New Roman"/>
              <w:sz w:val="32"/>
              <w:szCs w:val="32"/>
            </w:rPr>
          </w:pPr>
          <w:r>
            <w:fldChar w:fldCharType="begin"/>
          </w:r>
          <w:r>
            <w:instrText xml:space="preserve"> HYPERLINK \l "_Toc14890" </w:instrText>
          </w:r>
          <w:r>
            <w:fldChar w:fldCharType="separate"/>
          </w:r>
          <w:r>
            <w:rPr>
              <w:rFonts w:hint="default" w:ascii="Times New Roman" w:hAnsi="Times New Roman" w:eastAsia="黑体" w:cs="Times New Roman"/>
              <w:sz w:val="32"/>
              <w:szCs w:val="32"/>
            </w:rPr>
            <w:t>第二部分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2024年度单位</w:t>
          </w:r>
          <w:r>
            <w:rPr>
              <w:rFonts w:hint="default" w:ascii="Times New Roman" w:hAnsi="Times New Roman" w:eastAsia="黑体" w:cs="Times New Roman"/>
              <w:sz w:val="32"/>
              <w:szCs w:val="32"/>
            </w:rPr>
            <w:t>决算情况说明</w:t>
          </w:r>
          <w:r>
            <w:rPr>
              <w:rFonts w:hint="default" w:ascii="Times New Roman" w:hAnsi="Times New Roman" w:eastAsia="黑体" w:cs="Times New Roman"/>
              <w:sz w:val="32"/>
              <w:szCs w:val="32"/>
            </w:rPr>
            <w:tab/>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lang w:val="en-US" w:eastAsia="zh-CN"/>
            </w:rPr>
          </w:pPr>
          <w:r>
            <w:fldChar w:fldCharType="begin"/>
          </w:r>
          <w:r>
            <w:instrText xml:space="preserve"> HYPERLINK \l "_Toc11384" </w:instrText>
          </w:r>
          <w:r>
            <w:fldChar w:fldCharType="separate"/>
          </w:r>
          <w:r>
            <w:rPr>
              <w:rFonts w:hint="default" w:ascii="Times New Roman" w:hAnsi="Times New Roman" w:eastAsia="仿宋_GB2312" w:cs="Times New Roman"/>
              <w:color w:val="auto"/>
              <w:sz w:val="32"/>
              <w:szCs w:val="32"/>
              <w:highlight w:val="none"/>
              <w:lang w:val="en-US" w:eastAsia="zh-CN"/>
            </w:rPr>
            <w:t>一、收入支出决算总体情况说明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_Toc11384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3</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lang w:val="en-US" w:eastAsia="zh-CN"/>
            </w:rPr>
          </w:pPr>
          <w:r>
            <w:fldChar w:fldCharType="begin"/>
          </w:r>
          <w:r>
            <w:instrText xml:space="preserve"> HYPERLINK \l "_Toc3949" </w:instrText>
          </w:r>
          <w:r>
            <w:fldChar w:fldCharType="separate"/>
          </w:r>
          <w:r>
            <w:rPr>
              <w:rFonts w:hint="default" w:ascii="Times New Roman" w:hAnsi="Times New Roman" w:eastAsia="仿宋_GB2312" w:cs="Times New Roman"/>
              <w:color w:val="auto"/>
              <w:sz w:val="32"/>
              <w:szCs w:val="32"/>
              <w:highlight w:val="none"/>
              <w:lang w:val="en-US" w:eastAsia="zh-CN"/>
            </w:rPr>
            <w:t>二、收入决算情况说明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_Toc3949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3</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lang w:val="en-US" w:eastAsia="zh-CN"/>
            </w:rPr>
          </w:pPr>
          <w:r>
            <w:fldChar w:fldCharType="begin"/>
          </w:r>
          <w:r>
            <w:instrText xml:space="preserve"> HYPERLINK \l "_Toc18533" </w:instrText>
          </w:r>
          <w:r>
            <w:fldChar w:fldCharType="separate"/>
          </w:r>
          <w:r>
            <w:rPr>
              <w:rFonts w:hint="default" w:ascii="Times New Roman" w:hAnsi="Times New Roman" w:eastAsia="仿宋_GB2312" w:cs="Times New Roman"/>
              <w:color w:val="auto"/>
              <w:sz w:val="32"/>
              <w:szCs w:val="32"/>
              <w:highlight w:val="none"/>
              <w:lang w:val="en-US" w:eastAsia="zh-CN"/>
            </w:rPr>
            <w:t>三、支出决算情况说明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_Toc18533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4</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lang w:val="en-US" w:eastAsia="zh-CN"/>
            </w:rPr>
          </w:pPr>
          <w:r>
            <w:fldChar w:fldCharType="begin"/>
          </w:r>
          <w:r>
            <w:instrText xml:space="preserve"> HYPERLINK \l "_Toc2466" </w:instrText>
          </w:r>
          <w:r>
            <w:fldChar w:fldCharType="separate"/>
          </w:r>
          <w:r>
            <w:rPr>
              <w:rFonts w:hint="default" w:ascii="Times New Roman" w:hAnsi="Times New Roman" w:eastAsia="仿宋_GB2312" w:cs="Times New Roman"/>
              <w:color w:val="auto"/>
              <w:sz w:val="32"/>
              <w:szCs w:val="32"/>
              <w:highlight w:val="none"/>
              <w:lang w:val="en-US" w:eastAsia="zh-CN"/>
            </w:rPr>
            <w:t>四、财政拨款收入支出决算总体情况说明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_Toc2466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5</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"_Toc3178" </w:instrText>
          </w:r>
          <w:r>
            <w:fldChar w:fldCharType="separate"/>
          </w:r>
          <w:r>
            <w:rPr>
              <w:rFonts w:hint="default" w:ascii="Times New Roman" w:hAnsi="Times New Roman" w:eastAsia="仿宋_GB2312" w:cs="Times New Roman"/>
              <w:color w:val="auto"/>
              <w:sz w:val="32"/>
              <w:szCs w:val="32"/>
              <w:highlight w:val="none"/>
              <w:lang w:val="en-US" w:eastAsia="zh-CN"/>
            </w:rPr>
            <w:t>五、一般公共预算财政拨款支出决算情况说明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_Toc3178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6</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lang w:val="en-US" w:eastAsia="zh-CN"/>
            </w:rPr>
          </w:pPr>
          <w:r>
            <w:fldChar w:fldCharType="begin"/>
          </w:r>
          <w:r>
            <w:instrText xml:space="preserve"> HYPERLINK \l "_Toc13416" </w:instrText>
          </w:r>
          <w:r>
            <w:fldChar w:fldCharType="separate"/>
          </w:r>
          <w:r>
            <w:rPr>
              <w:rFonts w:hint="default" w:ascii="Times New Roman" w:hAnsi="Times New Roman" w:eastAsia="仿宋_GB2312" w:cs="Times New Roman"/>
              <w:color w:val="auto"/>
              <w:sz w:val="32"/>
              <w:szCs w:val="32"/>
              <w:highlight w:val="none"/>
              <w:lang w:val="en-US" w:eastAsia="zh-CN"/>
            </w:rPr>
            <w:t>六、一般公共预算财政拨款基本支出决算情况说明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_Toc13416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8</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cs="Times New Roman"/>
              <w:sz w:val="32"/>
              <w:szCs w:val="32"/>
            </w:rPr>
          </w:pPr>
          <w:r>
            <w:fldChar w:fldCharType="begin"/>
          </w:r>
          <w:r>
            <w:instrText xml:space="preserve"> HYPERLINK \l "_Toc1230" </w:instrText>
          </w:r>
          <w:r>
            <w:fldChar w:fldCharType="separate"/>
          </w:r>
          <w:r>
            <w:rPr>
              <w:rFonts w:hint="default" w:ascii="Times New Roman" w:hAnsi="Times New Roman" w:eastAsia="仿宋_GB2312" w:cs="Times New Roman"/>
              <w:color w:val="auto"/>
              <w:sz w:val="32"/>
              <w:szCs w:val="32"/>
              <w:highlight w:val="none"/>
              <w:lang w:val="en-US" w:eastAsia="zh-CN"/>
            </w:rPr>
            <w:t>七、财政拨款“三公”经费支出决算情况说明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_Toc1230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9</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lang w:val="en-US" w:eastAsia="zh-CN"/>
            </w:rPr>
          </w:pPr>
          <w:r>
            <w:fldChar w:fldCharType="begin"/>
          </w:r>
          <w:r>
            <w:instrText xml:space="preserve"> HYPERLINK \l "_Toc14677" </w:instrText>
          </w:r>
          <w:r>
            <w:fldChar w:fldCharType="separate"/>
          </w:r>
          <w:r>
            <w:rPr>
              <w:rFonts w:hint="default" w:ascii="Times New Roman" w:hAnsi="Times New Roman" w:eastAsia="仿宋_GB2312" w:cs="Times New Roman"/>
              <w:color w:val="auto"/>
              <w:sz w:val="32"/>
              <w:szCs w:val="32"/>
              <w:highlight w:val="none"/>
              <w:lang w:val="en-US" w:eastAsia="zh-CN"/>
            </w:rPr>
            <w:t>八、政府性基金预算支出决算情况说明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_Toc14677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12</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lang w:val="en-US" w:eastAsia="zh-CN"/>
            </w:rPr>
          </w:pPr>
          <w:r>
            <w:fldChar w:fldCharType="begin"/>
          </w:r>
          <w:r>
            <w:instrText xml:space="preserve"> HYPERLINK \l "_Toc32739" </w:instrText>
          </w:r>
          <w:r>
            <w:fldChar w:fldCharType="separate"/>
          </w:r>
          <w:r>
            <w:rPr>
              <w:rFonts w:hint="default" w:ascii="Times New Roman" w:hAnsi="Times New Roman" w:eastAsia="仿宋_GB2312" w:cs="Times New Roman"/>
              <w:color w:val="auto"/>
              <w:sz w:val="32"/>
              <w:szCs w:val="32"/>
              <w:highlight w:val="none"/>
              <w:lang w:val="en-US" w:eastAsia="zh-CN"/>
            </w:rPr>
            <w:t>九、国有资本经营预算支出决算情况说明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_Toc32739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12</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"_Toc10392" </w:instrText>
          </w:r>
          <w:r>
            <w:fldChar w:fldCharType="separate"/>
          </w:r>
          <w:r>
            <w:rPr>
              <w:rFonts w:hint="default" w:ascii="Times New Roman" w:hAnsi="Times New Roman" w:eastAsia="仿宋_GB2312" w:cs="Times New Roman"/>
              <w:color w:val="auto"/>
              <w:sz w:val="32"/>
              <w:szCs w:val="32"/>
              <w:highlight w:val="none"/>
              <w:lang w:val="en-US" w:eastAsia="zh-CN"/>
            </w:rPr>
            <w:t>十、其他重要事项的情况说明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_Toc10392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12</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4"/>
            <w:tabs>
              <w:tab w:val="right" w:leader="dot" w:pos="8306"/>
              <w:tab w:val="clear" w:pos="8296"/>
            </w:tabs>
            <w:rPr>
              <w:rFonts w:hint="default" w:ascii="Times New Roman" w:hAnsi="Times New Roman" w:eastAsia="黑体" w:cs="Times New Roman"/>
              <w:sz w:val="32"/>
              <w:szCs w:val="32"/>
            </w:rPr>
          </w:pPr>
          <w:r>
            <w:fldChar w:fldCharType="begin"/>
          </w:r>
          <w:r>
            <w:instrText xml:space="preserve"> HYPERLINK \l "_Toc28563" </w:instrText>
          </w:r>
          <w:r>
            <w:fldChar w:fldCharType="separate"/>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r>
            <w:rPr>
              <w:rFonts w:hint="default" w:ascii="Times New Roman" w:hAnsi="Times New Roman" w:eastAsia="黑体" w:cs="Times New Roman"/>
              <w:sz w:val="32"/>
              <w:szCs w:val="32"/>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_Toc28563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14</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4"/>
            <w:tabs>
              <w:tab w:val="right" w:leader="dot" w:pos="8306"/>
              <w:tab w:val="clear" w:pos="8296"/>
            </w:tabs>
            <w:rPr>
              <w:rFonts w:hint="default" w:ascii="Times New Roman" w:hAnsi="Times New Roman" w:eastAsia="黑体" w:cs="Times New Roman"/>
              <w:sz w:val="32"/>
              <w:szCs w:val="32"/>
            </w:rPr>
          </w:pPr>
          <w:r>
            <w:fldChar w:fldCharType="begin"/>
          </w:r>
          <w:r>
            <w:instrText xml:space="preserve"> HYPERLINK \l "_Toc6067" </w:instrText>
          </w:r>
          <w:r>
            <w:fldChar w:fldCharType="separate"/>
          </w:r>
          <w:r>
            <w:rPr>
              <w:rFonts w:hint="default" w:ascii="Times New Roman" w:hAnsi="Times New Roman" w:eastAsia="黑体" w:cs="Times New Roman"/>
              <w:sz w:val="32"/>
              <w:szCs w:val="32"/>
            </w:rPr>
            <w:t>第四部分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附件</w:t>
          </w:r>
          <w:r>
            <w:rPr>
              <w:rFonts w:hint="default" w:ascii="Times New Roman" w:hAnsi="Times New Roman" w:eastAsia="黑体" w:cs="Times New Roman"/>
              <w:sz w:val="32"/>
              <w:szCs w:val="32"/>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_Toc6067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17</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4"/>
            <w:tabs>
              <w:tab w:val="right" w:leader="dot" w:pos="8306"/>
              <w:tab w:val="clear" w:pos="8296"/>
            </w:tabs>
            <w:rPr>
              <w:rFonts w:hint="default" w:ascii="Times New Roman" w:hAnsi="Times New Roman" w:eastAsia="黑体" w:cs="Times New Roman"/>
              <w:sz w:val="32"/>
              <w:szCs w:val="32"/>
            </w:rPr>
          </w:pPr>
          <w:r>
            <w:fldChar w:fldCharType="begin"/>
          </w:r>
          <w:r>
            <w:instrText xml:space="preserve"> HYPERLINK \l "_Toc4200" </w:instrText>
          </w:r>
          <w:r>
            <w:fldChar w:fldCharType="separate"/>
          </w:r>
          <w:r>
            <w:rPr>
              <w:rFonts w:hint="default" w:ascii="Times New Roman" w:hAnsi="Times New Roman" w:eastAsia="黑体" w:cs="Times New Roman"/>
              <w:sz w:val="32"/>
              <w:szCs w:val="32"/>
            </w:rPr>
            <w:t>第五部分 附表</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_Toc4200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38</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"_Toc3644" </w:instrText>
          </w:r>
          <w:r>
            <w:fldChar w:fldCharType="separate"/>
          </w:r>
          <w:r>
            <w:rPr>
              <w:rFonts w:hint="default" w:ascii="Times New Roman" w:hAnsi="Times New Roman" w:eastAsia="仿宋_GB2312" w:cs="Times New Roman"/>
              <w:color w:val="auto"/>
              <w:sz w:val="32"/>
              <w:szCs w:val="32"/>
              <w:highlight w:val="none"/>
            </w:rPr>
            <w:t>一、收入支出决算总表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_Toc3644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"_Toc27484" </w:instrText>
          </w:r>
          <w:r>
            <w:fldChar w:fldCharType="separate"/>
          </w:r>
          <w:r>
            <w:rPr>
              <w:rFonts w:hint="default" w:ascii="Times New Roman" w:hAnsi="Times New Roman" w:eastAsia="仿宋_GB2312" w:cs="Times New Roman"/>
              <w:color w:val="auto"/>
              <w:sz w:val="32"/>
              <w:szCs w:val="32"/>
              <w:highlight w:val="none"/>
            </w:rPr>
            <w:t>二、收入决算表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_Toc27484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"_Toc25811" </w:instrText>
          </w:r>
          <w:r>
            <w:fldChar w:fldCharType="separate"/>
          </w:r>
          <w:r>
            <w:rPr>
              <w:rFonts w:hint="default" w:ascii="Times New Roman" w:hAnsi="Times New Roman" w:eastAsia="仿宋_GB2312" w:cs="Times New Roman"/>
              <w:color w:val="auto"/>
              <w:sz w:val="32"/>
              <w:szCs w:val="32"/>
              <w:highlight w:val="none"/>
            </w:rPr>
            <w:t>三、支出决算表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_Toc25811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"_Toc18393" </w:instrText>
          </w:r>
          <w:r>
            <w:fldChar w:fldCharType="separate"/>
          </w:r>
          <w:r>
            <w:rPr>
              <w:rFonts w:hint="default" w:ascii="Times New Roman" w:hAnsi="Times New Roman" w:eastAsia="仿宋_GB2312" w:cs="Times New Roman"/>
              <w:color w:val="auto"/>
              <w:sz w:val="32"/>
              <w:szCs w:val="32"/>
              <w:highlight w:val="none"/>
            </w:rPr>
            <w:t>四、财政拨款收入支出决算总表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_Toc18393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"_Toc27324" </w:instrText>
          </w:r>
          <w:r>
            <w:fldChar w:fldCharType="separate"/>
          </w:r>
          <w:r>
            <w:rPr>
              <w:rFonts w:hint="default" w:ascii="Times New Roman" w:hAnsi="Times New Roman" w:eastAsia="仿宋_GB2312" w:cs="Times New Roman"/>
              <w:color w:val="auto"/>
              <w:sz w:val="32"/>
              <w:szCs w:val="32"/>
              <w:highlight w:val="none"/>
            </w:rPr>
            <w:t>五、财政拨款支出决算明细表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_Toc27324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"_Toc12192" </w:instrText>
          </w:r>
          <w:r>
            <w:fldChar w:fldCharType="separate"/>
          </w:r>
          <w:r>
            <w:rPr>
              <w:rFonts w:hint="default" w:ascii="Times New Roman" w:hAnsi="Times New Roman" w:eastAsia="仿宋_GB2312" w:cs="Times New Roman"/>
              <w:color w:val="auto"/>
              <w:sz w:val="32"/>
              <w:szCs w:val="32"/>
              <w:highlight w:val="none"/>
            </w:rPr>
            <w:t>六、一般公共预算财政拨款支出决算表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_Toc12192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"_Toc25592" </w:instrText>
          </w:r>
          <w:r>
            <w:fldChar w:fldCharType="separate"/>
          </w:r>
          <w:r>
            <w:rPr>
              <w:rFonts w:hint="default" w:ascii="Times New Roman" w:hAnsi="Times New Roman" w:eastAsia="仿宋_GB2312" w:cs="Times New Roman"/>
              <w:color w:val="auto"/>
              <w:sz w:val="32"/>
              <w:szCs w:val="32"/>
              <w:highlight w:val="none"/>
            </w:rPr>
            <w:t>七、一般公共预算财政拨款支出决算明细表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_Toc25592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"_Toc23257" </w:instrText>
          </w:r>
          <w:r>
            <w:fldChar w:fldCharType="separate"/>
          </w:r>
          <w:r>
            <w:rPr>
              <w:rFonts w:hint="default" w:ascii="Times New Roman" w:hAnsi="Times New Roman" w:eastAsia="仿宋_GB2312" w:cs="Times New Roman"/>
              <w:color w:val="auto"/>
              <w:sz w:val="32"/>
              <w:szCs w:val="32"/>
              <w:highlight w:val="none"/>
            </w:rPr>
            <w:t>八、一般公共预算财政拨款基本支出决算表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_Toc23257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"_Toc9133" </w:instrText>
          </w:r>
          <w:r>
            <w:fldChar w:fldCharType="separate"/>
          </w:r>
          <w:r>
            <w:rPr>
              <w:rFonts w:hint="default" w:ascii="Times New Roman" w:hAnsi="Times New Roman" w:eastAsia="仿宋_GB2312" w:cs="Times New Roman"/>
              <w:color w:val="auto"/>
              <w:sz w:val="32"/>
              <w:szCs w:val="32"/>
              <w:highlight w:val="none"/>
            </w:rPr>
            <w:t>九、一般公共预算财政拨款项目支出决算表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_Toc9133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"_Toc17726" </w:instrText>
          </w:r>
          <w:r>
            <w:fldChar w:fldCharType="separate"/>
          </w:r>
          <w:r>
            <w:rPr>
              <w:rFonts w:hint="default" w:ascii="Times New Roman" w:hAnsi="Times New Roman" w:eastAsia="仿宋_GB2312" w:cs="Times New Roman"/>
              <w:color w:val="auto"/>
              <w:sz w:val="32"/>
              <w:szCs w:val="32"/>
              <w:highlight w:val="none"/>
            </w:rPr>
            <w:t>十、政府性基金预算财政拨款收入支出决算表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_Toc17726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"_Toc7955" </w:instrText>
          </w:r>
          <w:r>
            <w:fldChar w:fldCharType="separate"/>
          </w:r>
          <w:r>
            <w:rPr>
              <w:rFonts w:hint="default" w:ascii="Times New Roman" w:hAnsi="Times New Roman" w:eastAsia="仿宋_GB2312" w:cs="Times New Roman"/>
              <w:color w:val="auto"/>
              <w:sz w:val="32"/>
              <w:szCs w:val="32"/>
              <w:highlight w:val="none"/>
            </w:rPr>
            <w:t>十一、国有资本经营预算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_Toc7955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"_Toc32231" </w:instrText>
          </w:r>
          <w:r>
            <w:fldChar w:fldCharType="separate"/>
          </w: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eastAsia="zh-CN"/>
            </w:rPr>
            <w:t>国有资本经营预算财政拨款支出决算表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_Toc32231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32"/>
              <w:szCs w:val="32"/>
              <w:highlight w:val="none"/>
            </w:rPr>
          </w:pPr>
          <w:r>
            <w:fldChar w:fldCharType="begin"/>
          </w:r>
          <w:r>
            <w:instrText xml:space="preserve"> HYPERLINK \l "_Toc25759" </w:instrText>
          </w:r>
          <w:r>
            <w:fldChar w:fldCharType="separate"/>
          </w:r>
          <w:r>
            <w:rPr>
              <w:rFonts w:hint="default" w:ascii="Times New Roman" w:hAnsi="Times New Roman" w:eastAsia="仿宋_GB2312" w:cs="Times New Roman"/>
              <w:color w:val="auto"/>
              <w:sz w:val="32"/>
              <w:szCs w:val="32"/>
              <w:highlight w:val="none"/>
            </w:rPr>
            <w:t>十三、</w:t>
          </w:r>
          <w:r>
            <w:rPr>
              <w:rFonts w:hint="default" w:ascii="Times New Roman" w:hAnsi="Times New Roman" w:eastAsia="仿宋_GB2312" w:cs="Times New Roman"/>
              <w:color w:val="auto"/>
              <w:sz w:val="32"/>
              <w:szCs w:val="32"/>
              <w:highlight w:val="none"/>
              <w:lang w:eastAsia="zh-CN"/>
            </w:rPr>
            <w:t>财政拨款“三公”经费支出决算表</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PAGEREF _Toc25759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fldChar w:fldCharType="end"/>
          </w:r>
        </w:p>
        <w:p>
          <w:pPr>
            <w:rPr>
              <w:rFonts w:hint="default" w:ascii="Times New Roman" w:hAnsi="Times New Roman" w:cs="Times New Roman"/>
            </w:rPr>
          </w:pPr>
          <w:r>
            <w:rPr>
              <w:rFonts w:hint="default" w:ascii="Times New Roman" w:hAnsi="Times New Roman" w:cs="Times New Roman"/>
            </w:rPr>
            <w:fldChar w:fldCharType="end"/>
          </w:r>
        </w:p>
      </w:sdtContent>
    </w:sdt>
    <w:p>
      <w:pPr>
        <w:rPr>
          <w:rFonts w:hint="default" w:ascii="Times New Roman" w:hAnsi="Times New Roman" w:cs="Times New Roman"/>
        </w:rPr>
      </w:pPr>
    </w:p>
    <w:p>
      <w:pPr>
        <w:rPr>
          <w:rFonts w:hint="default" w:ascii="Times New Roman" w:hAnsi="Times New Roman" w:cs="Times New Roman"/>
        </w:rPr>
      </w:pPr>
    </w:p>
    <w:p>
      <w:pPr>
        <w:pStyle w:val="5"/>
        <w:bidi w:val="0"/>
        <w:jc w:val="both"/>
        <w:rPr>
          <w:rFonts w:hint="default" w:ascii="Times New Roman" w:hAnsi="Times New Roman" w:cs="Times New Roman"/>
        </w:rPr>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pPr>
    </w:p>
    <w:bookmarkEnd w:id="12"/>
    <w:bookmarkEnd w:id="13"/>
    <w:p>
      <w:pPr>
        <w:pStyle w:val="5"/>
        <w:jc w:val="center"/>
        <w:rPr>
          <w:rStyle w:val="30"/>
          <w:rFonts w:hint="eastAsia" w:ascii="Times New Roman" w:hAnsi="Times New Roman" w:eastAsia="方正小标宋简体" w:cs="方正小标宋简体"/>
          <w:b/>
          <w:bCs w:val="0"/>
          <w:color w:val="auto"/>
          <w:highlight w:val="none"/>
        </w:rPr>
      </w:pPr>
      <w:bookmarkStart w:id="14" w:name="_Toc23762"/>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val="en-US" w:eastAsia="zh-CN"/>
        </w:rPr>
        <w:t>单位</w:t>
      </w:r>
      <w:r>
        <w:rPr>
          <w:rStyle w:val="30"/>
          <w:rFonts w:hint="eastAsia" w:ascii="Times New Roman" w:hAnsi="Times New Roman" w:eastAsia="方正小标宋简体" w:cs="方正小标宋简体"/>
          <w:b w:val="0"/>
          <w:bCs w:val="0"/>
          <w:color w:val="auto"/>
          <w:highlight w:val="none"/>
        </w:rPr>
        <w:t>概况</w:t>
      </w:r>
    </w:p>
    <w:p>
      <w:pPr>
        <w:pStyle w:val="6"/>
        <w:numPr>
          <w:ilvl w:val="0"/>
          <w:numId w:val="1"/>
        </w:numPr>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val="en-US" w:eastAsia="zh-CN"/>
        </w:rPr>
        <w:t>单位</w:t>
      </w:r>
      <w:r>
        <w:rPr>
          <w:rFonts w:hint="default" w:ascii="Times New Roman" w:hAnsi="Times New Roman" w:eastAsia="黑体" w:cs="Times New Roman"/>
          <w:b w:val="0"/>
          <w:color w:val="auto"/>
          <w:highlight w:val="none"/>
          <w:lang w:eastAsia="zh-CN"/>
        </w:rPr>
        <w:t>职责</w:t>
      </w:r>
      <w:bookmarkEnd w:id="14"/>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组织开展恐龙及其他古生物化石的调查、发掘、征集、收藏、鉴定、登编、保管、研究、陈列、展示等工作。</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组织开展古生物及地层学、旅游地学、地质公园、</w:t>
      </w:r>
      <w:r>
        <w:rPr>
          <w:rFonts w:hint="default" w:ascii="Times New Roman" w:hAnsi="Times New Roman" w:eastAsia="仿宋_GB2312" w:cs="Times New Roman"/>
          <w:color w:val="auto"/>
          <w:sz w:val="32"/>
          <w:szCs w:val="32"/>
          <w:highlight w:val="none"/>
          <w:lang w:val="en-US" w:eastAsia="zh-CN"/>
        </w:rPr>
        <w:t>博物馆学</w:t>
      </w:r>
      <w:r>
        <w:rPr>
          <w:rFonts w:hint="default" w:ascii="Times New Roman" w:hAnsi="Times New Roman" w:eastAsia="仿宋_GB2312" w:cs="Times New Roman"/>
          <w:color w:val="auto"/>
          <w:sz w:val="32"/>
          <w:szCs w:val="32"/>
          <w:highlight w:val="none"/>
          <w:lang w:eastAsia="zh-CN"/>
        </w:rPr>
        <w:t>等方面的研究与学术交流活动。</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承担文物、古生物化石和相关地质遗迹的研究、保护工作。</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承担恐龙及其他古生物化石的修理、复原、复制、装架等工作。</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eastAsia="zh-CN"/>
        </w:rPr>
        <w:t>举办恐龙及其他古生物化石的对外展览，组织开展有关文化旅游交流活动。</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组织开展古生物知识、地学知识、环境保护知识、地方特色文化等方面的科学普及和宣传教育工作，发挥科普教育基地和爱国主义教育基地作用。</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eastAsia="zh-CN"/>
        </w:rPr>
        <w:t>组织开展相关文化旅游产品开发、出版和推广工作。</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lang w:eastAsia="zh-CN"/>
        </w:rPr>
        <w:t>开展服务观众游客的旅游配套服务。</w:t>
      </w:r>
    </w:p>
    <w:p>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（九）</w:t>
      </w:r>
      <w:r>
        <w:rPr>
          <w:rFonts w:hint="default" w:ascii="Times New Roman" w:hAnsi="Times New Roman" w:eastAsia="仿宋_GB2312" w:cs="Times New Roman"/>
          <w:color w:val="auto"/>
          <w:sz w:val="32"/>
          <w:szCs w:val="32"/>
          <w:highlight w:val="none"/>
          <w:lang w:eastAsia="zh-CN"/>
        </w:rPr>
        <w:t>完成市文化广电旅游局交办的其他事项。</w:t>
      </w:r>
    </w:p>
    <w:p>
      <w:pPr>
        <w:numPr>
          <w:ilvl w:val="0"/>
          <w:numId w:val="0"/>
        </w:numPr>
        <w:rPr>
          <w:rFonts w:hint="default" w:ascii="Times New Roman" w:hAnsi="Times New Roman" w:cs="Times New Roman"/>
          <w:lang w:eastAsia="zh-CN"/>
        </w:rPr>
      </w:pPr>
    </w:p>
    <w:p>
      <w:pPr>
        <w:pStyle w:val="6"/>
        <w:rPr>
          <w:rStyle w:val="31"/>
          <w:rFonts w:hint="default" w:ascii="Times New Roman" w:hAnsi="Times New Roman" w:cs="Times New Roman"/>
          <w:b w:val="0"/>
          <w:bCs w:val="0"/>
          <w:color w:val="auto"/>
          <w:highlight w:val="none"/>
        </w:rPr>
      </w:pPr>
      <w:bookmarkStart w:id="15" w:name="_Toc343"/>
      <w:bookmarkStart w:id="16" w:name="_Toc15396601"/>
      <w:bookmarkStart w:id="17" w:name="_Toc15377200"/>
      <w:r>
        <w:rPr>
          <w:rFonts w:hint="default" w:ascii="Times New Roman" w:hAnsi="Times New Roman" w:eastAsia="黑体" w:cs="Times New Roman"/>
          <w:b w:val="0"/>
          <w:color w:val="auto"/>
          <w:highlight w:val="none"/>
        </w:rPr>
        <w:t>二、机</w:t>
      </w:r>
      <w:r>
        <w:rPr>
          <w:rStyle w:val="31"/>
          <w:rFonts w:hint="default" w:ascii="Times New Roman" w:hAnsi="Times New Roman" w:eastAsia="黑体" w:cs="Times New Roman"/>
          <w:b w:val="0"/>
          <w:bCs w:val="0"/>
          <w:color w:val="auto"/>
          <w:highlight w:val="none"/>
        </w:rPr>
        <w:t>构设置</w:t>
      </w:r>
      <w:bookmarkEnd w:id="15"/>
      <w:bookmarkEnd w:id="16"/>
      <w:bookmarkEnd w:id="17"/>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博物馆下设9个部门</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研究部、科教部、陈列部、办公室、</w:t>
      </w:r>
      <w:r>
        <w:rPr>
          <w:rFonts w:hint="default" w:ascii="Times New Roman" w:hAnsi="Times New Roman" w:eastAsia="仿宋_GB2312" w:cs="Times New Roman"/>
          <w:sz w:val="32"/>
          <w:szCs w:val="32"/>
          <w:lang w:eastAsia="zh-CN"/>
        </w:rPr>
        <w:t>后勤科</w:t>
      </w:r>
      <w:r>
        <w:rPr>
          <w:rFonts w:hint="default" w:ascii="Times New Roman" w:hAnsi="Times New Roman" w:eastAsia="仿宋_GB2312" w:cs="Times New Roman"/>
          <w:sz w:val="32"/>
          <w:szCs w:val="32"/>
        </w:rPr>
        <w:t>、保卫科、旅游服务部</w:t>
      </w:r>
      <w:r>
        <w:rPr>
          <w:rFonts w:hint="default" w:ascii="Times New Roman" w:hAnsi="Times New Roman" w:eastAsia="仿宋_GB2312" w:cs="Times New Roman"/>
          <w:sz w:val="32"/>
          <w:szCs w:val="32"/>
          <w:lang w:eastAsia="zh-CN"/>
        </w:rPr>
        <w:t>、品牌推广部、规划发展部。</w:t>
      </w:r>
    </w:p>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18" w:name="_Toc15396602"/>
      <w:bookmarkStart w:id="19" w:name="_Toc15377204"/>
      <w:bookmarkStart w:id="20" w:name="_Toc15377205"/>
      <w:bookmarkStart w:id="21" w:name="_Toc11384"/>
      <w:bookmarkStart w:id="22" w:name="_Toc1539660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8"/>
      <w:bookmarkEnd w:id="19"/>
    </w:p>
    <w:p>
      <w:pPr>
        <w:pStyle w:val="6"/>
        <w:bidi w:val="0"/>
        <w:ind w:firstLine="640" w:firstLineChars="200"/>
        <w:rPr>
          <w:rFonts w:hint="eastAsia" w:ascii="黑体" w:hAnsi="黑体" w:eastAsia="黑体" w:cs="黑体"/>
          <w:b w:val="0"/>
          <w:bCs w:val="0"/>
        </w:rPr>
      </w:pPr>
      <w:r>
        <w:rPr>
          <w:rFonts w:hint="eastAsia" w:ascii="黑体" w:hAnsi="黑体" w:eastAsia="黑体" w:cs="黑体"/>
          <w:b w:val="0"/>
          <w:bCs w:val="0"/>
          <w:lang w:eastAsia="zh-CN"/>
        </w:rPr>
        <w:t>一、</w:t>
      </w:r>
      <w:r>
        <w:rPr>
          <w:rFonts w:hint="eastAsia" w:ascii="黑体" w:hAnsi="黑体" w:eastAsia="黑体" w:cs="黑体"/>
          <w:b w:val="0"/>
          <w:bCs w:val="0"/>
        </w:rPr>
        <w:t>收入支出决算总体情况说明</w:t>
      </w:r>
      <w:bookmarkEnd w:id="20"/>
      <w:bookmarkEnd w:id="21"/>
      <w:bookmarkEnd w:id="22"/>
    </w:p>
    <w:p>
      <w:pPr>
        <w:bidi w:val="0"/>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收入、支出总计均为4316.77万元。与2023年度相比，收入、支出总计各增加475.43万元，增长12.38%。主要变动原因是2024年博物馆运行良好，园区承载量已经恢复正常，非税收入预期较高；同时按照2024年的工作计划，我馆已经启动主展馆改造提升项目、重点科研项目及举办特展项目和临展项目等，支出预算编制较多。</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cs="Times New Roma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cs="Times New Roma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cs="Times New Roma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cs="Times New Roma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cs="Times New Roma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cs="Times New Roma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cs="Times New Roma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cs="Times New Roman"/>
          <w:lang w:eastAsia="zh-CN"/>
        </w:rPr>
      </w:pPr>
      <w:r>
        <w:rPr>
          <w:rFonts w:hint="default" w:ascii="Times New Roman" w:hAnsi="Times New Roman" w:cs="Times New Roman"/>
        </w:rPr>
        <w:drawing>
          <wp:anchor distT="0" distB="0" distL="114300" distR="114300" simplePos="0" relativeHeight="251659264"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r>
        <w:rPr>
          <w:rFonts w:hint="eastAsia" w:eastAsia="仿宋_GB2312" w:cs="Times New Roman"/>
          <w:color w:val="auto"/>
          <w:sz w:val="32"/>
          <w:szCs w:val="32"/>
          <w:highlight w:val="none"/>
          <w:lang w:val="en-US" w:eastAsia="zh-CN"/>
        </w:rPr>
        <w:t>单位：万元</w:t>
      </w:r>
      <w:r>
        <w:rPr>
          <w:rFonts w:hint="default" w:ascii="Times New Roman" w:hAnsi="Times New Roman" w:eastAsia="仿宋_GB2312" w:cs="Times New Roman"/>
          <w:color w:val="auto"/>
          <w:sz w:val="32"/>
          <w:szCs w:val="32"/>
          <w:highlight w:val="none"/>
        </w:rPr>
        <w:t>）</w:t>
      </w:r>
    </w:p>
    <w:p>
      <w:pPr>
        <w:pStyle w:val="6"/>
        <w:bidi w:val="0"/>
        <w:ind w:firstLine="640" w:firstLineChars="200"/>
        <w:rPr>
          <w:rFonts w:hint="eastAsia" w:ascii="黑体" w:hAnsi="黑体" w:eastAsia="黑体" w:cs="黑体"/>
          <w:b w:val="0"/>
          <w:bCs w:val="0"/>
          <w:lang w:eastAsia="zh-CN"/>
        </w:rPr>
      </w:pPr>
      <w:bookmarkStart w:id="23" w:name="_Toc15396604"/>
      <w:bookmarkStart w:id="24" w:name="_Toc3949"/>
      <w:bookmarkStart w:id="25" w:name="_Toc15377206"/>
      <w:r>
        <w:rPr>
          <w:rFonts w:hint="eastAsia" w:ascii="黑体" w:hAnsi="黑体" w:eastAsia="黑体" w:cs="黑体"/>
          <w:b w:val="0"/>
          <w:bCs w:val="0"/>
          <w:lang w:eastAsia="zh-CN"/>
        </w:rPr>
        <w:t>二、收入决算情况说明</w:t>
      </w:r>
      <w:bookmarkEnd w:id="23"/>
      <w:bookmarkEnd w:id="24"/>
      <w:bookmarkEnd w:id="25"/>
    </w:p>
    <w:p>
      <w:pPr>
        <w:bidi w:val="0"/>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2024年度本年收入合计4117.89万元，其中：一般公共预算财政拨款收入3651.88万元，占88.68%；政府性基金预算财政拨款收入93万元，占2.26%；事业收入360.33万元，占8.75%；其他收入12.68万元，占0.31%。</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bookmarkStart w:id="26" w:name="OLE_LINK5"/>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单位：万元</w:t>
      </w:r>
      <w:r>
        <w:rPr>
          <w:rFonts w:hint="default" w:ascii="Times New Roman" w:hAnsi="Times New Roman" w:eastAsia="仿宋_GB2312" w:cs="Times New Roman"/>
          <w:color w:val="auto"/>
          <w:sz w:val="32"/>
          <w:szCs w:val="32"/>
          <w:highlight w:val="none"/>
        </w:rPr>
        <w:t>）</w:t>
      </w:r>
    </w:p>
    <w:bookmarkEnd w:id="26"/>
    <w:p>
      <w:pPr>
        <w:pStyle w:val="6"/>
        <w:bidi w:val="0"/>
        <w:ind w:firstLine="640" w:firstLineChars="200"/>
        <w:rPr>
          <w:rFonts w:hint="eastAsia" w:ascii="黑体" w:hAnsi="黑体" w:eastAsia="黑体" w:cs="黑体"/>
          <w:lang w:val="en-US" w:eastAsia="zh-CN"/>
        </w:rPr>
      </w:pPr>
      <w:bookmarkStart w:id="27" w:name="_Toc18533"/>
      <w:bookmarkStart w:id="28" w:name="_Toc15396605"/>
      <w:bookmarkStart w:id="29" w:name="_Toc15377207"/>
      <w:r>
        <w:rPr>
          <w:rFonts w:hint="eastAsia" w:ascii="黑体" w:hAnsi="黑体" w:eastAsia="黑体" w:cs="黑体"/>
          <w:lang w:val="en-US" w:eastAsia="zh-CN"/>
        </w:rPr>
        <w:t>三、支出决算情况说明</w:t>
      </w:r>
      <w:bookmarkEnd w:id="27"/>
      <w:bookmarkEnd w:id="28"/>
      <w:bookmarkEnd w:id="29"/>
    </w:p>
    <w:p>
      <w:pPr>
        <w:bidi w:val="0"/>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color w:val="auto"/>
          <w:sz w:val="32"/>
          <w:szCs w:val="32"/>
          <w:highlight w:val="none"/>
          <w:lang w:val="en-US" w:eastAsia="zh-CN"/>
        </w:rPr>
        <w:t>4287.75</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color w:val="auto"/>
          <w:sz w:val="32"/>
          <w:szCs w:val="32"/>
          <w:highlight w:val="none"/>
          <w:lang w:val="en-US" w:eastAsia="zh-CN"/>
        </w:rPr>
        <w:t>3208.26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color w:val="auto"/>
          <w:sz w:val="32"/>
          <w:szCs w:val="32"/>
          <w:highlight w:val="none"/>
          <w:lang w:val="en-US" w:eastAsia="zh-CN"/>
        </w:rPr>
        <w:t>74.82</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color w:val="auto"/>
          <w:sz w:val="32"/>
          <w:szCs w:val="32"/>
          <w:highlight w:val="none"/>
          <w:lang w:val="en-US" w:eastAsia="zh-CN"/>
        </w:rPr>
        <w:t>1079.49</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color w:val="auto"/>
          <w:sz w:val="32"/>
          <w:szCs w:val="32"/>
          <w:highlight w:val="none"/>
          <w:lang w:val="en-US" w:eastAsia="zh-CN"/>
        </w:rPr>
        <w:t>25.18</w:t>
      </w:r>
      <w:r>
        <w:rPr>
          <w:rFonts w:hint="default" w:ascii="Times New Roman" w:hAnsi="Times New Roman" w:eastAsia="仿宋_GB2312" w:cs="Times New Roman"/>
          <w:color w:val="auto"/>
          <w:sz w:val="32"/>
          <w:szCs w:val="32"/>
          <w:highlight w:val="none"/>
          <w:lang w:eastAsia="zh-CN"/>
        </w:rPr>
        <w:t>%。</w:t>
      </w:r>
    </w:p>
    <w:p>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636770" cy="2807970"/>
            <wp:effectExtent l="4445" t="4445" r="6985" b="698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单位：万元</w:t>
      </w:r>
      <w:r>
        <w:rPr>
          <w:rFonts w:hint="default" w:ascii="Times New Roman" w:hAnsi="Times New Roman" w:eastAsia="仿宋_GB2312" w:cs="Times New Roman"/>
          <w:color w:val="auto"/>
          <w:sz w:val="32"/>
          <w:szCs w:val="32"/>
          <w:highlight w:val="none"/>
        </w:rPr>
        <w:t>）</w:t>
      </w:r>
    </w:p>
    <w:p>
      <w:pPr>
        <w:pStyle w:val="6"/>
        <w:bidi w:val="0"/>
        <w:ind w:firstLine="640" w:firstLineChars="200"/>
        <w:rPr>
          <w:rFonts w:hint="eastAsia" w:ascii="黑体" w:hAnsi="黑体" w:eastAsia="黑体" w:cs="黑体"/>
          <w:lang w:val="en-US" w:eastAsia="zh-CN"/>
        </w:rPr>
      </w:pPr>
      <w:bookmarkStart w:id="30" w:name="_Toc15377208"/>
      <w:bookmarkStart w:id="31" w:name="_Toc2466"/>
      <w:bookmarkStart w:id="32" w:name="_Toc15396606"/>
      <w:r>
        <w:rPr>
          <w:rFonts w:hint="eastAsia" w:ascii="黑体" w:hAnsi="黑体" w:eastAsia="黑体" w:cs="黑体"/>
          <w:lang w:val="en-US" w:eastAsia="zh-CN"/>
        </w:rPr>
        <w:t>四、</w:t>
      </w:r>
      <w:bookmarkStart w:id="33" w:name="OLE_LINK3"/>
      <w:r>
        <w:rPr>
          <w:rFonts w:hint="eastAsia" w:ascii="黑体" w:hAnsi="黑体" w:eastAsia="黑体" w:cs="黑体"/>
          <w:lang w:val="en-US" w:eastAsia="zh-CN"/>
        </w:rPr>
        <w:t>财政拨款收入支出决算总体情况说明</w:t>
      </w:r>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2024年度财政拨款收入、支出总计均为3744.88万元。与2023年度相比，财政拨款收入总计、支出总计各增加499.69万元，增长15.4%。主要变动原因是</w:t>
      </w:r>
      <w:r>
        <w:rPr>
          <w:rFonts w:hint="default" w:ascii="Times New Roman" w:hAnsi="Times New Roman" w:eastAsia="仿宋_GB2312" w:cs="Times New Roman"/>
          <w:color w:val="000000"/>
          <w:sz w:val="32"/>
          <w:szCs w:val="32"/>
          <w:u w:val="none"/>
          <w:lang w:val="en-US" w:eastAsia="zh-CN"/>
        </w:rPr>
        <w:t>博物馆2024年目标任务加剧、向上争取资金力度加强、市委、市政府支持力度加大，较2023年相比，二号馆科普展示工程竣工结算后支付款项169万元、向上争取的超长期国债项目前期投入经费41万元、向上争取国保资金用于馆藏文物预防性保护项目273万元，投入可研项目弥补化石勘探科考经费35万元，遗址馆建设投入省文旅融合资金74万元；为完成恐龙馆场馆建设与基础设施提升改造项目，向上争取专项债券资金93万元，此项为2024年新增任务和重点项目，较往年增幅较大。</w:t>
      </w:r>
    </w:p>
    <w:p>
      <w:pPr>
        <w:pStyle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93395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r>
        <w:rPr>
          <w:rFonts w:hint="eastAsia" w:eastAsia="仿宋_GB2312" w:cs="Times New Roman"/>
          <w:color w:val="auto"/>
          <w:kern w:val="2"/>
          <w:sz w:val="32"/>
          <w:szCs w:val="32"/>
          <w:highlight w:val="none"/>
          <w:lang w:val="en-US" w:eastAsia="zh-CN" w:bidi="ar-SA"/>
        </w:rPr>
        <w:t>单位：万元</w:t>
      </w:r>
      <w:r>
        <w:rPr>
          <w:rFonts w:hint="default" w:ascii="Times New Roman" w:hAnsi="Times New Roman" w:eastAsia="仿宋_GB2312" w:cs="Times New Roman"/>
          <w:color w:val="auto"/>
          <w:kern w:val="2"/>
          <w:sz w:val="32"/>
          <w:szCs w:val="32"/>
          <w:highlight w:val="none"/>
          <w:lang w:val="en-US" w:eastAsia="zh-CN" w:bidi="ar-SA"/>
        </w:rPr>
        <w:t>）</w:t>
      </w:r>
    </w:p>
    <w:p>
      <w:pPr>
        <w:pStyle w:val="6"/>
        <w:bidi w:val="0"/>
        <w:ind w:firstLine="640" w:firstLineChars="200"/>
        <w:rPr>
          <w:rFonts w:hint="eastAsia" w:ascii="黑体" w:hAnsi="黑体" w:eastAsia="黑体" w:cs="黑体"/>
          <w:lang w:val="en-US" w:eastAsia="zh-CN"/>
        </w:rPr>
      </w:pPr>
      <w:bookmarkStart w:id="34" w:name="_Toc15396607"/>
      <w:bookmarkStart w:id="35" w:name="_Toc3178"/>
      <w:bookmarkStart w:id="36" w:name="_Toc15377209"/>
      <w:r>
        <w:rPr>
          <w:rFonts w:hint="eastAsia" w:ascii="黑体" w:hAnsi="黑体" w:eastAsia="黑体" w:cs="黑体"/>
          <w:lang w:val="en-US" w:eastAsia="zh-CN"/>
        </w:rPr>
        <w:t>五、一般公共预算财政拨款支出决算情况说明</w:t>
      </w:r>
      <w:bookmarkEnd w:id="34"/>
      <w:bookmarkEnd w:id="35"/>
      <w:bookmarkEnd w:id="36"/>
    </w:p>
    <w:p>
      <w:pPr>
        <w:spacing w:line="600" w:lineRule="exact"/>
        <w:ind w:firstLine="321" w:firstLineChars="100"/>
        <w:outlineLvl w:val="2"/>
        <w:rPr>
          <w:rFonts w:hint="default" w:ascii="Times New Roman" w:hAnsi="Times New Roman" w:eastAsia="楷体_GB2312" w:cs="Times New Roman"/>
          <w:b/>
          <w:color w:val="auto"/>
          <w:sz w:val="32"/>
          <w:szCs w:val="32"/>
          <w:highlight w:val="none"/>
        </w:rPr>
      </w:pPr>
      <w:bookmarkStart w:id="37" w:name="_Toc20423"/>
      <w:bookmarkStart w:id="38"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7"/>
      <w:bookmarkEnd w:id="38"/>
    </w:p>
    <w:p>
      <w:pPr>
        <w:pStyle w:val="9"/>
        <w:numPr>
          <w:ilvl w:val="0"/>
          <w:numId w:val="0"/>
        </w:numPr>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2024年度一般公共预算财政拨款支出3651.88万元，占本年支出合计的85.17%。与2023年度相比，一般公共预算财政拨款支出增加406.69万元，增长12.53%。主要变动原因</w:t>
      </w:r>
      <w:r>
        <w:rPr>
          <w:rFonts w:hint="default" w:ascii="Times New Roman" w:hAnsi="Times New Roman" w:cs="Times New Roman"/>
          <w:color w:val="auto"/>
          <w:kern w:val="2"/>
          <w:sz w:val="32"/>
          <w:szCs w:val="32"/>
          <w:highlight w:val="none"/>
          <w:lang w:val="en-US" w:eastAsia="zh-CN" w:bidi="ar-SA"/>
        </w:rPr>
        <w:t>一</w:t>
      </w:r>
      <w:r>
        <w:rPr>
          <w:rFonts w:hint="default" w:ascii="Times New Roman" w:hAnsi="Times New Roman" w:eastAsia="仿宋_GB2312" w:cs="Times New Roman"/>
          <w:color w:val="000000"/>
          <w:kern w:val="2"/>
          <w:sz w:val="32"/>
          <w:szCs w:val="32"/>
          <w:u w:val="none"/>
          <w:lang w:val="en-US" w:eastAsia="zh-CN" w:bidi="ar-SA"/>
        </w:rPr>
        <w:t>是2024年游客数量显著增多，导致日常场馆运营维护成本增加，包括设施维护、清洁、安保等方面的支出；二是川渝共建古生物实验室设备购置项目的推进，增加了设备采购和实验室建设的相关费用；三是专项债支持的“自贡恐龙博物馆场馆建设及配套基础设施提升改造项目”前期配套支出，以及“自贡恐龙博物馆展示和服务设备更新项目”的新增支出，这些项目直接推动了场馆硬件设施的升级和服务的优化。</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1312" behindDoc="1" locked="0" layoutInCell="1" allowOverlap="1">
            <wp:simplePos x="0" y="0"/>
            <wp:positionH relativeFrom="column">
              <wp:posOffset>367665</wp:posOffset>
            </wp:positionH>
            <wp:positionV relativeFrom="paragraph">
              <wp:posOffset>174625</wp:posOffset>
            </wp:positionV>
            <wp:extent cx="4572000" cy="2743200"/>
            <wp:effectExtent l="4445" t="4445" r="14605" b="14605"/>
            <wp:wrapTight wrapText="bothSides">
              <wp:wrapPolygon>
                <wp:start x="-21" y="-35"/>
                <wp:lineTo x="-21" y="21565"/>
                <wp:lineTo x="21579" y="21565"/>
                <wp:lineTo x="21579" y="-35"/>
                <wp:lineTo x="-21" y="-35"/>
              </wp:wrapPolygon>
            </wp:wrapTight>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spacing w:line="600" w:lineRule="exact"/>
        <w:jc w:val="both"/>
        <w:rPr>
          <w:rFonts w:hint="default" w:ascii="Times New Roman" w:hAnsi="Times New Roman" w:eastAsia="仿宋_GB2312" w:cs="Times New Roman"/>
          <w:color w:val="auto"/>
          <w:kern w:val="2"/>
          <w:sz w:val="32"/>
          <w:szCs w:val="32"/>
          <w:highlight w:val="none"/>
          <w:lang w:val="en-US" w:eastAsia="zh-CN" w:bidi="ar-SA"/>
        </w:rPr>
      </w:pPr>
    </w:p>
    <w:p>
      <w:pPr>
        <w:spacing w:line="600" w:lineRule="exact"/>
        <w:jc w:val="both"/>
        <w:rPr>
          <w:rFonts w:hint="default" w:ascii="Times New Roman" w:hAnsi="Times New Roman" w:eastAsia="仿宋_GB2312" w:cs="Times New Roman"/>
          <w:color w:val="auto"/>
          <w:kern w:val="2"/>
          <w:sz w:val="32"/>
          <w:szCs w:val="32"/>
          <w:highlight w:val="none"/>
          <w:lang w:val="en-US" w:eastAsia="zh-CN" w:bidi="ar-SA"/>
        </w:rPr>
      </w:pPr>
    </w:p>
    <w:p>
      <w:pPr>
        <w:spacing w:line="600" w:lineRule="exact"/>
        <w:jc w:val="both"/>
        <w:rPr>
          <w:rFonts w:hint="default" w:ascii="Times New Roman" w:hAnsi="Times New Roman" w:eastAsia="仿宋_GB2312" w:cs="Times New Roman"/>
          <w:color w:val="auto"/>
          <w:kern w:val="2"/>
          <w:sz w:val="32"/>
          <w:szCs w:val="32"/>
          <w:highlight w:val="none"/>
          <w:lang w:val="en-US" w:eastAsia="zh-CN" w:bidi="ar-SA"/>
        </w:rPr>
      </w:pPr>
    </w:p>
    <w:p>
      <w:pPr>
        <w:spacing w:line="600" w:lineRule="exact"/>
        <w:jc w:val="both"/>
        <w:rPr>
          <w:rFonts w:hint="default" w:ascii="Times New Roman" w:hAnsi="Times New Roman" w:eastAsia="仿宋_GB2312" w:cs="Times New Roman"/>
          <w:color w:val="auto"/>
          <w:kern w:val="2"/>
          <w:sz w:val="32"/>
          <w:szCs w:val="32"/>
          <w:highlight w:val="none"/>
          <w:lang w:val="en-US" w:eastAsia="zh-CN" w:bidi="ar-SA"/>
        </w:rPr>
      </w:pPr>
    </w:p>
    <w:p>
      <w:pPr>
        <w:spacing w:line="600" w:lineRule="exact"/>
        <w:jc w:val="both"/>
        <w:rPr>
          <w:rFonts w:hint="default" w:ascii="Times New Roman" w:hAnsi="Times New Roman" w:eastAsia="楷体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单位：万元</w:t>
      </w:r>
      <w:r>
        <w:rPr>
          <w:rFonts w:hint="default" w:ascii="Times New Roman" w:hAnsi="Times New Roman" w:eastAsia="仿宋_GB2312" w:cs="Times New Roman"/>
          <w:color w:val="auto"/>
          <w:kern w:val="2"/>
          <w:sz w:val="32"/>
          <w:szCs w:val="32"/>
          <w:highlight w:val="none"/>
          <w:lang w:val="en-US" w:eastAsia="zh-CN" w:bidi="ar-SA"/>
        </w:rPr>
        <w:t>）</w:t>
      </w:r>
      <w:bookmarkStart w:id="39" w:name="_Toc15377211"/>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279"/>
      <w:r>
        <w:rPr>
          <w:rFonts w:hint="default" w:ascii="Times New Roman" w:hAnsi="Times New Roman" w:eastAsia="楷体_GB2312" w:cs="Times New Roman"/>
          <w:b/>
          <w:color w:val="auto"/>
          <w:sz w:val="32"/>
          <w:szCs w:val="32"/>
          <w:highlight w:val="none"/>
        </w:rPr>
        <w:t>（二）一般公共预算财政拨款支出决算结构情况</w:t>
      </w:r>
      <w:bookmarkEnd w:id="39"/>
      <w:bookmarkEnd w:id="40"/>
    </w:p>
    <w:p>
      <w:pPr>
        <w:spacing w:line="600" w:lineRule="exact"/>
        <w:ind w:firstLine="640"/>
        <w:rPr>
          <w:rFonts w:hint="default" w:ascii="Times New Roman" w:hAnsi="Times New Roman" w:eastAsia="仿宋_GB2312" w:cs="Times New Roman"/>
          <w:color w:val="auto"/>
          <w:kern w:val="2"/>
          <w:sz w:val="32"/>
          <w:szCs w:val="32"/>
          <w:highlight w:val="green"/>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3651.88万元，主要用于以下方面：文化旅游体育与传媒支出3316.02万元，占90.8%；社会保障和就业支出255.26万元，占6.99%；卫生健康支出33.23万元，占0.91%；住房保障支出47.37万元，占1.3%。</w:t>
      </w:r>
    </w:p>
    <w:p>
      <w:pPr>
        <w:pStyle w:val="9"/>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r>
        <w:rPr>
          <w:rFonts w:hint="eastAsia" w:eastAsia="仿宋_GB2312" w:cs="Times New Roman"/>
          <w:color w:val="auto"/>
          <w:kern w:val="2"/>
          <w:sz w:val="32"/>
          <w:szCs w:val="32"/>
          <w:highlight w:val="none"/>
          <w:lang w:val="en-US" w:eastAsia="zh-CN" w:bidi="ar-SA"/>
        </w:rPr>
        <w:t>单位：万元</w:t>
      </w:r>
      <w:r>
        <w:rPr>
          <w:rFonts w:hint="default" w:ascii="Times New Roman" w:hAnsi="Times New Roman" w:eastAsia="仿宋_GB2312" w:cs="Times New Roman"/>
          <w:color w:val="auto"/>
          <w:kern w:val="2"/>
          <w:sz w:val="32"/>
          <w:szCs w:val="32"/>
          <w:highlight w:val="none"/>
          <w:lang w:val="en-US" w:eastAsia="zh-CN" w:bidi="ar-SA"/>
        </w:rPr>
        <w:t>）</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12"/>
      <w:bookmarkStart w:id="42" w:name="_Toc28"/>
      <w:bookmarkStart w:id="43" w:name="_Toc15378460"/>
      <w:bookmarkStart w:id="44" w:name="_Toc15377213"/>
      <w:bookmarkStart w:id="45" w:name="_Toc15377444"/>
      <w:r>
        <w:rPr>
          <w:rFonts w:hint="default" w:ascii="Times New Roman" w:hAnsi="Times New Roman" w:eastAsia="楷体_GB2312" w:cs="Times New Roman"/>
          <w:b/>
          <w:color w:val="auto"/>
          <w:sz w:val="32"/>
          <w:szCs w:val="32"/>
          <w:highlight w:val="none"/>
        </w:rPr>
        <w:t>（三）一般公共预算财政拨款支出决算具体情况</w:t>
      </w:r>
      <w:bookmarkEnd w:id="41"/>
      <w:bookmarkEnd w:id="4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2024年度一般公共预算财政拨款支出决算数为3651.88，完成预算100%。其中：</w:t>
      </w:r>
      <w:bookmarkEnd w:id="43"/>
      <w:bookmarkEnd w:id="44"/>
      <w:bookmarkEnd w:id="45"/>
    </w:p>
    <w:p>
      <w:pPr>
        <w:numPr>
          <w:ilvl w:val="0"/>
          <w:numId w:val="0"/>
        </w:num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1.文化旅游体育与传媒（类）文化和旅游（款）其他文化和旅游支出（项）：支出决算为73.99万元，完成预算100%，决算数等于预算数；</w:t>
      </w:r>
    </w:p>
    <w:p>
      <w:pPr>
        <w:pStyle w:val="9"/>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2.文化旅游体育与传媒（类）</w:t>
      </w:r>
      <w:r>
        <w:rPr>
          <w:rFonts w:hint="default" w:ascii="Times New Roman" w:hAnsi="Times New Roman" w:cs="Times New Roman"/>
          <w:color w:val="auto"/>
          <w:kern w:val="2"/>
          <w:sz w:val="32"/>
          <w:szCs w:val="32"/>
          <w:highlight w:val="none"/>
          <w:lang w:val="en-US" w:eastAsia="zh-CN" w:bidi="ar-SA"/>
        </w:rPr>
        <w:t>文物</w:t>
      </w:r>
      <w:r>
        <w:rPr>
          <w:rFonts w:hint="default" w:ascii="Times New Roman" w:hAnsi="Times New Roman" w:eastAsia="仿宋_GB2312" w:cs="Times New Roman"/>
          <w:color w:val="auto"/>
          <w:kern w:val="2"/>
          <w:sz w:val="32"/>
          <w:szCs w:val="32"/>
          <w:highlight w:val="none"/>
          <w:lang w:val="en-US" w:eastAsia="zh-CN" w:bidi="ar-SA"/>
        </w:rPr>
        <w:t>（款）</w:t>
      </w:r>
      <w:r>
        <w:rPr>
          <w:rFonts w:hint="default" w:ascii="Times New Roman" w:hAnsi="Times New Roman" w:cs="Times New Roman"/>
          <w:color w:val="auto"/>
          <w:kern w:val="2"/>
          <w:sz w:val="32"/>
          <w:szCs w:val="32"/>
          <w:highlight w:val="none"/>
          <w:lang w:val="en-US" w:eastAsia="zh-CN" w:bidi="ar-SA"/>
        </w:rPr>
        <w:t>文物保护</w:t>
      </w:r>
      <w:r>
        <w:rPr>
          <w:rFonts w:hint="default" w:ascii="Times New Roman" w:hAnsi="Times New Roman" w:eastAsia="仿宋_GB2312" w:cs="Times New Roman"/>
          <w:color w:val="auto"/>
          <w:kern w:val="2"/>
          <w:sz w:val="32"/>
          <w:szCs w:val="32"/>
          <w:highlight w:val="none"/>
          <w:lang w:val="en-US" w:eastAsia="zh-CN" w:bidi="ar-SA"/>
        </w:rPr>
        <w:t>（项）：支出决算为308.17万元，完成预算100%，决算数等于预算数；</w:t>
      </w:r>
    </w:p>
    <w:p>
      <w:pPr>
        <w:pStyle w:val="9"/>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3.文化旅游体育与传媒（类）文物（款）博物馆（项）：支出决算为2933.8</w:t>
      </w:r>
      <w:r>
        <w:rPr>
          <w:rFonts w:hint="default" w:ascii="Times New Roman" w:hAnsi="Times New Roman"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万元，完成预算100%，决算数等于预算数；</w:t>
      </w:r>
    </w:p>
    <w:p>
      <w:pPr>
        <w:pStyle w:val="9"/>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4.社会保障和就业（类）行政事业单位养老支出（款）事业单位离退休（项）：支出决算为129.51万元，完成预算100%，决算数等于预算数；</w:t>
      </w:r>
    </w:p>
    <w:p>
      <w:pPr>
        <w:pStyle w:val="9"/>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5.社会保障和就业（类）行政事业单位养老支出（款）机关事业单位基本养老保险（项）：支出决算为83.83万元，完成预算100%，决算数等于预算数；</w:t>
      </w:r>
    </w:p>
    <w:p>
      <w:pPr>
        <w:pStyle w:val="9"/>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6.社会保障和就业（类）行政事业单位养老支出（款）机关事业单位职业年金缴费支出（项）：支出决算为41.92万元，完成预算100%，决算数等于预算数；</w:t>
      </w:r>
    </w:p>
    <w:p>
      <w:pPr>
        <w:pStyle w:val="9"/>
        <w:numPr>
          <w:ilvl w:val="0"/>
          <w:numId w:val="0"/>
        </w:num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7.卫生健康（类）行政事业单位医疗（款）事业单位医疗（项）：支出决算为33.23万元，完成预算100%，决算数等于预算数；</w:t>
      </w:r>
    </w:p>
    <w:p>
      <w:pPr>
        <w:pStyle w:val="9"/>
        <w:numPr>
          <w:ilvl w:val="0"/>
          <w:numId w:val="0"/>
        </w:numPr>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8.住房保障支出（类）住房改革支出（款）住房公积金（项）：支出决算为47.37万元，完成预算100%，决算数等于预算数；</w:t>
      </w:r>
      <w:bookmarkStart w:id="46" w:name="_Toc15396608"/>
      <w:bookmarkStart w:id="47" w:name="_Toc15377214"/>
    </w:p>
    <w:p>
      <w:pPr>
        <w:tabs>
          <w:tab w:val="right" w:pos="8306"/>
        </w:tabs>
        <w:spacing w:line="600" w:lineRule="exact"/>
        <w:ind w:firstLine="640"/>
        <w:outlineLvl w:val="1"/>
        <w:rPr>
          <w:rStyle w:val="31"/>
          <w:rFonts w:hint="default" w:ascii="Times New Roman" w:hAnsi="Times New Roman" w:cs="Times New Roman"/>
          <w:color w:val="auto"/>
          <w:highlight w:val="none"/>
        </w:rPr>
      </w:pPr>
      <w:bookmarkStart w:id="48" w:name="_Toc13416"/>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46"/>
      <w:bookmarkEnd w:id="47"/>
      <w:bookmarkEnd w:id="48"/>
      <w:r>
        <w:rPr>
          <w:rStyle w:val="31"/>
          <w:rFonts w:hint="default" w:ascii="Times New Roman" w:hAnsi="Times New Roman" w:eastAsia="黑体" w:cs="Times New Roman"/>
          <w:b w:val="0"/>
          <w:color w:val="auto"/>
          <w:highlight w:val="none"/>
        </w:rPr>
        <w:tab/>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2024年度一般公共预算财政拨款基本支出2719.89万元，其中：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1631.83万元，主要包括：基本工资、津贴补贴、绩效工资、机关事业单位基本养老保险缴费、职业年金缴费、其他社会保障缴费、其他工资福利支出、退休费、住房公积金、其他对个人和家庭的补助支出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1088.06万元，主要包括：办公费、印刷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其他资本性支出等。</w:t>
      </w:r>
    </w:p>
    <w:p>
      <w:pPr>
        <w:spacing w:line="600" w:lineRule="exact"/>
        <w:ind w:firstLine="640"/>
        <w:outlineLvl w:val="1"/>
        <w:rPr>
          <w:rStyle w:val="31"/>
          <w:rFonts w:hint="default" w:ascii="Times New Roman" w:hAnsi="Times New Roman" w:eastAsia="黑体" w:cs="Times New Roman"/>
          <w:b w:val="0"/>
          <w:color w:val="auto"/>
          <w:highlight w:val="none"/>
        </w:rPr>
      </w:pPr>
      <w:bookmarkStart w:id="49" w:name="_Toc15377215"/>
      <w:bookmarkStart w:id="50" w:name="_Toc15396609"/>
      <w:bookmarkStart w:id="51" w:name="_Toc1230"/>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b w:val="0"/>
          <w:color w:val="auto"/>
          <w:highlight w:val="none"/>
        </w:rPr>
        <w:t>财政拨款</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三公”经费支出决算情况说明</w:t>
      </w:r>
      <w:bookmarkEnd w:id="49"/>
      <w:bookmarkEnd w:id="50"/>
      <w:bookmarkEnd w:id="51"/>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2" w:name="_Toc28972"/>
      <w:bookmarkStart w:id="53"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52"/>
      <w:bookmarkEnd w:id="53"/>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2024年度“三公”经费财政拨款支出决算为24.14万元，完成预算100%，较上年度减少31.53万元，下降56.64%。与预算数持平。</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4" w:name="_Toc25361"/>
      <w:bookmarkStart w:id="55"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54"/>
      <w:bookmarkEnd w:id="55"/>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2024年度“三公”经费财政拨款支出决算中，因公出国（境）费支出决算17.89万元，占74.11%；公务用车购置及运行维护费支出决算5.8万元，占24.03%；公务接待费支出决算0.45万元，占1.86%。具体情况如下：</w:t>
      </w:r>
    </w:p>
    <w:p>
      <w:pPr>
        <w:pStyle w:val="9"/>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877435" cy="2933700"/>
            <wp:effectExtent l="5080" t="4445" r="1333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r>
        <w:rPr>
          <w:rFonts w:hint="eastAsia" w:eastAsia="仿宋_GB2312" w:cs="Times New Roman"/>
          <w:color w:val="auto"/>
          <w:kern w:val="2"/>
          <w:sz w:val="32"/>
          <w:szCs w:val="32"/>
          <w:highlight w:val="none"/>
          <w:lang w:val="en-US" w:eastAsia="zh-CN" w:bidi="ar-SA"/>
        </w:rPr>
        <w:t>单位：万元</w:t>
      </w:r>
      <w:r>
        <w:rPr>
          <w:rFonts w:hint="default" w:ascii="Times New Roman" w:hAnsi="Times New Roman" w:eastAsia="仿宋_GB2312" w:cs="Times New Roman"/>
          <w:color w:val="auto"/>
          <w:kern w:val="2"/>
          <w:sz w:val="32"/>
          <w:szCs w:val="32"/>
          <w:highlight w:val="none"/>
          <w:lang w:val="en-US" w:eastAsia="zh-CN" w:bidi="ar-SA"/>
        </w:rPr>
        <w:t>）</w:t>
      </w:r>
    </w:p>
    <w:p>
      <w:pPr>
        <w:numPr>
          <w:ilvl w:val="0"/>
          <w:numId w:val="0"/>
        </w:numPr>
        <w:spacing w:line="600" w:lineRule="exact"/>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1.因公出国（境）经费支出17.89万元，完成预算100%。</w:t>
      </w:r>
      <w:r>
        <w:rPr>
          <w:rFonts w:hint="default" w:ascii="Times New Roman" w:hAnsi="Times New Roman" w:eastAsia="仿宋_GB2312" w:cs="Times New Roman"/>
          <w:color w:val="auto"/>
          <w:kern w:val="2"/>
          <w:sz w:val="32"/>
          <w:szCs w:val="32"/>
          <w:highlight w:val="none"/>
          <w:lang w:val="en-US" w:eastAsia="zh-CN" w:bidi="ar-SA"/>
        </w:rPr>
        <w:t>全年安排因公出国（境）团组3次，出国（境）7人。因公出国（境）支出决算比2023年增加17.89万元，增长100%。主要原因是2023年无因公出国（境），</w:t>
      </w:r>
      <w:r>
        <w:rPr>
          <w:rFonts w:hint="default" w:ascii="Times New Roman" w:hAnsi="Times New Roman" w:eastAsia="仿宋_GB2312" w:cs="Times New Roman"/>
          <w:color w:val="auto"/>
          <w:sz w:val="32"/>
          <w:szCs w:val="32"/>
          <w:highlight w:val="none"/>
          <w:lang w:val="en-US" w:eastAsia="zh-CN"/>
        </w:rPr>
        <w:t>2024年新增出国（境）3次。</w:t>
      </w:r>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赴韩国参加“第37届国际地质大会”，在大会上，我馆大山铺恐龙化石群遗址被国际地质科学联合会成功选入“第二批100个国际地科联地质遗产地名录”，成为四川省首个入选的地质遗产地；赴美国明尼苏达州参加美国北美古脊椎动物学会第84届学术年会及纽约石溪大学开展学术交流年会，通过参加北美古脊椎动物学年会及学术交流，让馆内进一步了解了北美古脊椎动物学会和纽约石溪大学，不仅加强了与参会知名专家学者的交流，并且深化与石溪大学的合作；赴香港参加2024年自然资源厅科普能力提升培训开展教学科研任务，自贡恐龙博物馆与香港地质公园联合开展科普教育合作交流活动，将与香港科学馆进行联合办展。</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2.公务用车购置及运行维护费支出5.8万元，完成预算100%。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公务用车购置及运行维护费支出决算比2023年度减少47.74万元，下降89.16%。主要原因是2023年购入两辆公务用车。</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其中：公务用车购置支出0万元。截至2024年12月31日，单位共有公务用车2辆，其中：轿车1辆、越野车1辆、载客汽车0辆。</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公务用车运行维护费支出5.8万元。主要用于</w:t>
      </w:r>
      <w:r>
        <w:rPr>
          <w:rFonts w:hint="default" w:ascii="Times New Roman" w:hAnsi="Times New Roman" w:eastAsia="仿宋_GB2312" w:cs="Times New Roman"/>
          <w:color w:val="auto"/>
          <w:sz w:val="32"/>
          <w:szCs w:val="32"/>
          <w:highlight w:val="none"/>
          <w:lang w:val="en-US" w:eastAsia="zh-CN"/>
        </w:rPr>
        <w:t>外出培训、会议及野外考察</w:t>
      </w:r>
      <w:r>
        <w:rPr>
          <w:rFonts w:hint="default" w:ascii="Times New Roman" w:hAnsi="Times New Roman" w:eastAsia="仿宋_GB2312" w:cs="Times New Roman"/>
          <w:color w:val="auto"/>
          <w:kern w:val="2"/>
          <w:sz w:val="32"/>
          <w:szCs w:val="32"/>
          <w:highlight w:val="none"/>
          <w:lang w:val="en-US" w:eastAsia="zh-CN" w:bidi="ar-SA"/>
        </w:rPr>
        <w:t>所需的公务用车燃料费、维修费、过路过桥费、保险费等支出。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3.公务接待费支出0.45万元，完成预算100%。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公务接待费支出决算比2023年度减少1.71万元，下降79.17%。主要原因是</w:t>
      </w:r>
      <w:r>
        <w:rPr>
          <w:rFonts w:hint="default" w:ascii="Times New Roman" w:hAnsi="Times New Roman" w:eastAsia="仿宋_GB2312" w:cs="Times New Roman"/>
          <w:color w:val="000000"/>
          <w:sz w:val="32"/>
          <w:szCs w:val="32"/>
          <w:u w:val="none"/>
          <w:lang w:val="en-US" w:eastAsia="zh-CN"/>
        </w:rPr>
        <w:t>我馆严控“三公”经费，公务接待费</w:t>
      </w:r>
      <w:r>
        <w:rPr>
          <w:rFonts w:hint="eastAsia" w:eastAsia="仿宋_GB2312" w:cs="Times New Roman"/>
          <w:color w:val="000000"/>
          <w:sz w:val="32"/>
          <w:szCs w:val="32"/>
          <w:u w:val="none"/>
          <w:lang w:val="en-US" w:eastAsia="zh-CN"/>
        </w:rPr>
        <w:t>四</w:t>
      </w:r>
      <w:r>
        <w:rPr>
          <w:rFonts w:hint="default" w:ascii="Times New Roman" w:hAnsi="Times New Roman" w:eastAsia="仿宋_GB2312" w:cs="Times New Roman"/>
          <w:color w:val="000000"/>
          <w:sz w:val="32"/>
          <w:szCs w:val="32"/>
          <w:u w:val="none"/>
          <w:lang w:val="en-US" w:eastAsia="zh-CN"/>
        </w:rPr>
        <w:t>单不齐不予报销</w:t>
      </w:r>
      <w:r>
        <w:rPr>
          <w:rFonts w:hint="default" w:ascii="Times New Roman" w:hAnsi="Times New Roman" w:eastAsia="仿宋_GB2312" w:cs="Times New Roman"/>
          <w:color w:val="auto"/>
          <w:kern w:val="2"/>
          <w:sz w:val="32"/>
          <w:szCs w:val="32"/>
          <w:highlight w:val="none"/>
          <w:lang w:val="en-US" w:eastAsia="zh-CN" w:bidi="ar-SA"/>
        </w:rPr>
        <w:t>。其中：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56" w:name="OLE_LINK1"/>
      <w:r>
        <w:rPr>
          <w:rFonts w:hint="default" w:ascii="Times New Roman" w:hAnsi="Times New Roman" w:eastAsia="仿宋_GB2312" w:cs="Times New Roman"/>
          <w:color w:val="auto"/>
          <w:kern w:val="2"/>
          <w:sz w:val="32"/>
          <w:szCs w:val="32"/>
          <w:highlight w:val="none"/>
          <w:lang w:val="en-US" w:eastAsia="zh-CN" w:bidi="ar-SA"/>
        </w:rPr>
        <w:t>国内公务接待支出0.45万元，主要用于执行公务用餐费。国内公务接待5批次，24人次（不包括陪同人员），共计支出0.45万元，具体内容包括：接待台湾石尚博物馆交流学习0.036万元；接待北京科学技术研究院学习交流与调研0.165万元；接待金昌市自然资源局矿管科调研化石发掘保护研究0.088万元；接待安徽省古生物与地质遗址学会考察调研古生物化石保护利用经验0.088万元；接待澄江化石地自然博物馆考察调研文创研学及临展业务0.077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外事接待支出0万元。外事接待0批次，0人次（不包括陪同人员），共计支出0万元。</w:t>
      </w:r>
      <w:bookmarkStart w:id="57" w:name="_Toc15377218"/>
      <w:bookmarkStart w:id="58" w:name="_Toc15396610"/>
    </w:p>
    <w:bookmarkEnd w:id="56"/>
    <w:p>
      <w:pPr>
        <w:spacing w:line="600" w:lineRule="exact"/>
        <w:ind w:firstLine="640"/>
        <w:outlineLvl w:val="1"/>
        <w:rPr>
          <w:rStyle w:val="31"/>
          <w:rFonts w:hint="default" w:ascii="Times New Roman" w:hAnsi="Times New Roman" w:eastAsia="黑体" w:cs="Times New Roman"/>
          <w:color w:val="auto"/>
          <w:highlight w:val="none"/>
        </w:rPr>
      </w:pPr>
      <w:bookmarkStart w:id="59" w:name="_Toc14677"/>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57"/>
      <w:bookmarkEnd w:id="58"/>
      <w:bookmarkEnd w:id="59"/>
    </w:p>
    <w:p>
      <w:pPr>
        <w:pStyle w:val="9"/>
        <w:numPr>
          <w:ilvl w:val="0"/>
          <w:numId w:val="0"/>
        </w:numPr>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2024年度政府性基金预算财政拨款支出93万元，占本年支出合计的</w:t>
      </w:r>
      <w:r>
        <w:rPr>
          <w:rFonts w:hint="default" w:ascii="Times New Roman" w:hAnsi="Times New Roman" w:cs="Times New Roman"/>
          <w:color w:val="auto"/>
          <w:kern w:val="2"/>
          <w:sz w:val="32"/>
          <w:szCs w:val="32"/>
          <w:highlight w:val="none"/>
          <w:lang w:val="en-US" w:eastAsia="zh-CN" w:bidi="ar-SA"/>
        </w:rPr>
        <w:t>2.17</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%。与2023年度相比，政府性基金预算财政拨款支出增加93万元，增长100%。主要变动原因是</w:t>
      </w:r>
      <w:r>
        <w:rPr>
          <w:rFonts w:hint="default" w:ascii="Times New Roman" w:hAnsi="Times New Roman" w:eastAsia="仿宋_GB2312" w:cs="Times New Roman"/>
          <w:color w:val="000000"/>
          <w:sz w:val="32"/>
          <w:szCs w:val="32"/>
          <w:u w:val="none"/>
          <w:lang w:val="en-US" w:eastAsia="zh-CN"/>
        </w:rPr>
        <w:t>于2024年新增下达2024年公开发行项目与收益融资自求平衡专项债券资金-自贡恐龙博物馆场馆建设及配套基础设施提升改造项目93万元，用于项目建设的初步设计、勘察、用地调整费用。</w:t>
      </w:r>
    </w:p>
    <w:p>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60" w:name="_Toc15377219"/>
      <w:bookmarkStart w:id="61" w:name="_Toc15396611"/>
      <w:bookmarkStart w:id="62" w:name="_Toc32739"/>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60"/>
      <w:bookmarkEnd w:id="61"/>
      <w:bookmarkEnd w:id="6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2024年度国有资本经营预算财政拨款支出0万元，占本年支出合计的0%。与2023年度相比，国有资本经营预算财政拨款支出持平。</w:t>
      </w:r>
    </w:p>
    <w:p>
      <w:pPr>
        <w:numPr>
          <w:ilvl w:val="0"/>
          <w:numId w:val="0"/>
        </w:numPr>
        <w:spacing w:line="600" w:lineRule="exact"/>
        <w:ind w:left="630" w:leftChars="0"/>
        <w:outlineLvl w:val="1"/>
        <w:rPr>
          <w:rFonts w:hint="default" w:ascii="Times New Roman" w:hAnsi="Times New Roman" w:eastAsia="仿宋_GB2312" w:cs="Times New Roman"/>
          <w:color w:val="auto"/>
          <w:kern w:val="2"/>
          <w:sz w:val="32"/>
          <w:szCs w:val="32"/>
          <w:highlight w:val="none"/>
          <w:lang w:val="en-US" w:eastAsia="zh-CN" w:bidi="ar-SA"/>
        </w:rPr>
      </w:pPr>
      <w:bookmarkStart w:id="63" w:name="_Toc15377221"/>
      <w:bookmarkStart w:id="64" w:name="_Toc10392"/>
      <w:bookmarkStart w:id="65" w:name="_Toc15396612"/>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63"/>
      <w:bookmarkEnd w:id="64"/>
      <w:bookmarkEnd w:id="65"/>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6" w:name="_Toc28688"/>
      <w:bookmarkStart w:id="67" w:name="_Toc15377223"/>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val="en-US" w:eastAsia="zh-CN"/>
        </w:rPr>
        <w:t>一</w:t>
      </w:r>
      <w:r>
        <w:rPr>
          <w:rFonts w:hint="default" w:ascii="Times New Roman" w:hAnsi="Times New Roman" w:eastAsia="楷体_GB2312" w:cs="Times New Roman"/>
          <w:b/>
          <w:color w:val="auto"/>
          <w:sz w:val="32"/>
          <w:szCs w:val="32"/>
          <w:highlight w:val="none"/>
        </w:rPr>
        <w:t>）政府采购支出情况</w:t>
      </w:r>
      <w:bookmarkEnd w:id="66"/>
      <w:bookmarkEnd w:id="67"/>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自贡恐龙博物馆政府采购支出总额861.72万元，其中：政府采购货物支出600.1万元、政府采购工程支出0万元、政府采购服务支出261.62万元。主要用于公务用车加油、保险、维修维护，自贡恐龙博物馆馆藏文物预防性保护采购项目，自贡恐龙博物馆川渝共建重点实验室基础设备采购等支出。授予中小企业合同金额736.63万元，占政府采购支出总额的85.48%，其中：授予小微企业合同金额0.52万元，占政府采购支出总额的0.06%。</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8" w:name="_Toc15377224"/>
      <w:bookmarkStart w:id="69" w:name="_Toc28884"/>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val="en-US" w:eastAsia="zh-CN"/>
        </w:rPr>
        <w:t>二</w:t>
      </w:r>
      <w:r>
        <w:rPr>
          <w:rFonts w:hint="default" w:ascii="Times New Roman" w:hAnsi="Times New Roman" w:eastAsia="楷体_GB2312" w:cs="Times New Roman"/>
          <w:b/>
          <w:color w:val="auto"/>
          <w:sz w:val="32"/>
          <w:szCs w:val="32"/>
          <w:highlight w:val="none"/>
        </w:rPr>
        <w:t>）国有资产占有使用情况</w:t>
      </w:r>
      <w:bookmarkEnd w:id="68"/>
      <w:bookmarkEnd w:id="69"/>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截至2024年12月31日，自贡恐龙博物馆共有车辆（F03表29行4栏）2辆，其中：主要负责人用车0辆、机要通信用车0辆、应急保障用车0辆、其他用车2辆，其他用车主要是用于</w:t>
      </w:r>
      <w:r>
        <w:rPr>
          <w:rFonts w:hint="default" w:ascii="Times New Roman" w:hAnsi="Times New Roman" w:eastAsia="仿宋_GB2312" w:cs="Times New Roman"/>
          <w:color w:val="auto"/>
          <w:sz w:val="32"/>
          <w:szCs w:val="32"/>
          <w:highlight w:val="none"/>
          <w:lang w:val="en-US" w:eastAsia="zh-CN"/>
        </w:rPr>
        <w:t>外出培训、会议及野外考察</w:t>
      </w:r>
      <w:r>
        <w:rPr>
          <w:rFonts w:hint="default" w:ascii="Times New Roman" w:hAnsi="Times New Roman" w:eastAsia="仿宋_GB2312" w:cs="Times New Roman"/>
          <w:color w:val="auto"/>
          <w:kern w:val="2"/>
          <w:sz w:val="32"/>
          <w:szCs w:val="32"/>
          <w:highlight w:val="none"/>
          <w:lang w:val="en-US" w:eastAsia="zh-CN" w:bidi="ar-SA"/>
        </w:rPr>
        <w:t>所需。单价100万元（含）以上设备（不含车辆）2台（套）。</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70" w:name="_Toc21808"/>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val="en-US" w:eastAsia="zh-CN"/>
        </w:rPr>
        <w:t>三</w:t>
      </w:r>
      <w:r>
        <w:rPr>
          <w:rFonts w:hint="default" w:ascii="Times New Roman" w:hAnsi="Times New Roman" w:eastAsia="楷体_GB2312" w:cs="Times New Roman"/>
          <w:b/>
          <w:color w:val="auto"/>
          <w:sz w:val="32"/>
          <w:szCs w:val="32"/>
          <w:highlight w:val="none"/>
        </w:rPr>
        <w:t>）预算绩效管理情况</w:t>
      </w:r>
      <w:bookmarkEnd w:id="70"/>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自贡恐龙博物馆在2024年度预算编制阶段，组织对自贡恐龙博物馆陈列展览运行项目（管理）等10个项目开展了预算事前绩效评估，对10个项目编制了绩效目标，预算执行过程中，选取10个项目开展绩效监控。</w:t>
      </w:r>
      <w:bookmarkStart w:id="71" w:name="OLE_LINK4"/>
      <w:r>
        <w:rPr>
          <w:rFonts w:hint="eastAsia" w:ascii="Times New Roman" w:hAnsi="Times New Roman" w:eastAsia="仿宋_GB2312" w:cs="仿宋_GB2312"/>
          <w:color w:val="auto"/>
          <w:kern w:val="2"/>
          <w:sz w:val="32"/>
          <w:szCs w:val="32"/>
          <w:highlight w:val="none"/>
          <w:lang w:val="en-US" w:eastAsia="zh-CN" w:bidi="ar-SA"/>
        </w:rPr>
        <w:t>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详见附件。</w:t>
      </w:r>
    </w:p>
    <w:bookmarkEnd w:id="71"/>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3"/>
        <w:rPr>
          <w:rFonts w:hint="default" w:ascii="Times New Roman" w:hAnsi="Times New Roman" w:eastAsia="仿宋_GB2312" w:cs="Times New Roman"/>
          <w:color w:val="auto"/>
          <w:kern w:val="2"/>
          <w:sz w:val="32"/>
          <w:szCs w:val="32"/>
          <w:highlight w:val="none"/>
          <w:lang w:val="en-US" w:eastAsia="zh-CN" w:bidi="ar-SA"/>
        </w:rPr>
      </w:pPr>
    </w:p>
    <w:p>
      <w:pPr>
        <w:pStyle w:val="3"/>
        <w:rPr>
          <w:rFonts w:hint="default" w:ascii="Times New Roman" w:hAnsi="Times New Roman" w:eastAsia="仿宋_GB2312" w:cs="Times New Roman"/>
          <w:color w:val="auto"/>
          <w:kern w:val="2"/>
          <w:sz w:val="32"/>
          <w:szCs w:val="32"/>
          <w:highlight w:val="none"/>
          <w:lang w:val="en-US" w:eastAsia="zh-CN" w:bidi="ar-SA"/>
        </w:rPr>
      </w:pP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ascii="Times New Roman" w:hAnsi="Times New Roman" w:eastAsia="仿宋_GB2312" w:cs="Times New Roman"/>
          <w:color w:val="auto"/>
          <w:kern w:val="2"/>
          <w:sz w:val="32"/>
          <w:szCs w:val="32"/>
          <w:highlight w:val="none"/>
          <w:lang w:val="en-US" w:eastAsia="zh-CN" w:bidi="ar-SA"/>
        </w:rPr>
      </w:pPr>
    </w:p>
    <w:p>
      <w:pPr>
        <w:pStyle w:val="3"/>
        <w:rPr>
          <w:rFonts w:hint="default" w:ascii="Times New Roman" w:hAnsi="Times New Roman" w:eastAsia="仿宋_GB2312" w:cs="Times New Roman"/>
          <w:color w:val="auto"/>
          <w:kern w:val="2"/>
          <w:sz w:val="32"/>
          <w:szCs w:val="32"/>
          <w:highlight w:val="none"/>
          <w:lang w:val="en-US" w:eastAsia="zh-CN" w:bidi="ar-SA"/>
        </w:rPr>
      </w:pPr>
    </w:p>
    <w:p>
      <w:pP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br w:type="page"/>
      </w:r>
    </w:p>
    <w:p>
      <w:pPr>
        <w:pStyle w:val="5"/>
        <w:bidi w:val="0"/>
        <w:jc w:val="center"/>
        <w:rPr>
          <w:rFonts w:hint="eastAsia" w:ascii="黑体" w:hAnsi="黑体" w:eastAsia="黑体" w:cs="黑体"/>
          <w:b w:val="0"/>
          <w:bCs w:val="0"/>
          <w:color w:val="auto"/>
          <w:sz w:val="44"/>
          <w:szCs w:val="44"/>
          <w:highlight w:val="none"/>
        </w:rPr>
      </w:pPr>
      <w:bookmarkStart w:id="72" w:name="_Toc28563"/>
      <w:bookmarkStart w:id="73" w:name="_Toc15396613"/>
      <w:bookmarkStart w:id="74" w:name="_Toc15377225"/>
      <w:r>
        <w:rPr>
          <w:rFonts w:hint="eastAsia" w:ascii="黑体" w:hAnsi="黑体" w:eastAsia="黑体" w:cs="黑体"/>
          <w:b w:val="0"/>
          <w:bCs w:val="0"/>
        </w:rPr>
        <w:t>第</w:t>
      </w:r>
      <w:r>
        <w:rPr>
          <w:rFonts w:hint="eastAsia" w:ascii="黑体" w:hAnsi="黑体" w:eastAsia="黑体" w:cs="黑体"/>
          <w:b w:val="0"/>
          <w:bCs w:val="0"/>
          <w:lang w:eastAsia="zh-CN"/>
        </w:rPr>
        <w:t>三</w:t>
      </w:r>
      <w:r>
        <w:rPr>
          <w:rFonts w:hint="eastAsia" w:ascii="黑体" w:hAnsi="黑体" w:eastAsia="黑体" w:cs="黑体"/>
          <w:b w:val="0"/>
          <w:bCs w:val="0"/>
        </w:rPr>
        <w:t>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名词解释</w:t>
      </w:r>
      <w:bookmarkEnd w:id="72"/>
      <w:bookmarkEnd w:id="73"/>
      <w:bookmarkEnd w:id="74"/>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2.事业收入：</w:t>
      </w:r>
      <w:r>
        <w:rPr>
          <w:rFonts w:hint="default" w:ascii="Times New Roman" w:hAnsi="Times New Roman" w:eastAsia="仿宋_GB2312" w:cs="Times New Roman"/>
          <w:color w:val="auto"/>
          <w:sz w:val="32"/>
          <w:szCs w:val="32"/>
          <w:highlight w:val="none"/>
        </w:rPr>
        <w:t>指事业单位在专业业务活动及其辅助活动之外开展非独立核算经营活动取得的收入。如</w:t>
      </w:r>
      <w:r>
        <w:rPr>
          <w:rFonts w:hint="default" w:ascii="Times New Roman" w:hAnsi="Times New Roman" w:eastAsia="仿宋_GB2312" w:cs="Times New Roman"/>
          <w:sz w:val="32"/>
          <w:szCs w:val="32"/>
          <w:lang w:val="en-US" w:eastAsia="zh-CN"/>
        </w:rPr>
        <w:t>对外展览收入、讲解服务收入、研学游收入、讲座收入、销售商品款</w:t>
      </w:r>
      <w:r>
        <w:rPr>
          <w:rFonts w:hint="default" w:ascii="Times New Roman" w:hAnsi="Times New Roman" w:eastAsia="仿宋_GB2312" w:cs="Times New Roman"/>
          <w:color w:val="auto"/>
          <w:sz w:val="32"/>
          <w:szCs w:val="32"/>
          <w:highlight w:val="none"/>
        </w:rPr>
        <w:t>等。</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3.其他收入：指单位取得的除上述收入以外的各项收入。</w:t>
      </w:r>
      <w:r>
        <w:rPr>
          <w:rFonts w:hint="default" w:ascii="Times New Roman" w:hAnsi="Times New Roman" w:eastAsia="仿宋_GB2312" w:cs="Times New Roman"/>
          <w:color w:val="auto"/>
          <w:sz w:val="32"/>
          <w:szCs w:val="32"/>
          <w:highlight w:val="none"/>
        </w:rPr>
        <w:t>主要是</w:t>
      </w:r>
      <w:r>
        <w:rPr>
          <w:rFonts w:hint="default" w:ascii="Times New Roman" w:hAnsi="Times New Roman" w:eastAsia="仿宋_GB2312" w:cs="Times New Roman"/>
          <w:color w:val="auto"/>
          <w:sz w:val="32"/>
          <w:szCs w:val="32"/>
          <w:highlight w:val="none"/>
          <w:lang w:val="en-US" w:eastAsia="zh-CN"/>
        </w:rPr>
        <w:t>横向拨款收入、</w:t>
      </w:r>
      <w:r>
        <w:rPr>
          <w:rFonts w:hint="default" w:ascii="Times New Roman" w:hAnsi="Times New Roman" w:eastAsia="仿宋_GB2312" w:cs="Times New Roman"/>
          <w:sz w:val="32"/>
          <w:szCs w:val="32"/>
          <w:lang w:eastAsia="zh-CN"/>
        </w:rPr>
        <w:t>拾金不昧款、赔偿费用</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4.使用非财政拨款结余（含专用结余）：指事业单位使用以前年度积累的非财政拨款结余弥补当年收支差额的金额。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5.年初结转和结余：指以前年度尚未完成、结转到本年按有关规定继续使用的资金。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6结余分配：指事业单位按照会计制度规定缴纳的所得税、提取的专用结余以及转入非财政拨款结余的金额等。</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7.年末结转和结余：指单位按有关规定结转到下年或以后年度继续使用的资金。</w:t>
      </w:r>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8.文化旅游体育与传媒（类）文化和旅游（款）其他文化和旅游支出（项）：指文旅融合项目的支出。</w:t>
      </w:r>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9.文化旅游体育与传媒（类）文物（款）文物保护（项）：指开展文物保护方面的支出。</w:t>
      </w:r>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10.文化旅游体育与传媒（类）文物（款）博物馆（项）： 指博物馆工资福利支出、办公费等公用经费及业务方面支出。</w:t>
      </w:r>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11.社会保障和就业（类）行政事业单位养老（款）事业单位离退休（项）：指反映事业单位开支的离退休经费。</w:t>
      </w:r>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12.社会保障和就业（类）行政事业单位养老（款）机关事业单位基本养老保险缴费支出（项）：指反映事业单位实施养老保险制度由单位缴纳的基本养老保险支出。</w:t>
      </w:r>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13.社会保障和就业（类）行政事业单位养老（款）机关事业单位职业年金缴费支出（项）：指反映事业单位实施养老保险制度由单位缴纳的职业年金支出。</w:t>
      </w:r>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14.卫生健康支出（类）行政事业单位医疗（款）事业单位医疗（项）：指事业单位用于缴纳单位基本医疗保险支出。</w:t>
      </w:r>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bookmarkStart w:id="75" w:name="OLE_LINK2"/>
      <w:r>
        <w:rPr>
          <w:rFonts w:hint="default" w:ascii="Times New Roman" w:hAnsi="Times New Roman" w:eastAsia="仿宋_GB2312" w:cs="Times New Roman"/>
          <w:b w:val="0"/>
          <w:bCs w:val="0"/>
          <w:color w:val="auto"/>
          <w:kern w:val="2"/>
          <w:sz w:val="32"/>
          <w:szCs w:val="32"/>
          <w:highlight w:val="none"/>
          <w:lang w:val="en-US" w:eastAsia="zh-CN" w:bidi="ar-SA"/>
        </w:rPr>
        <w:t>15.住房保障支出（类）住房改革支出（款）住房公积金（项）：指行政事业单位按照人力资源和社会保障部、财政部规定的基本工资和津贴补贴以及规定比例为职工缴纳的住房公积金。</w:t>
      </w:r>
      <w:bookmarkEnd w:id="75"/>
    </w:p>
    <w:p>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16.其他支出（类）其他政府性基金及对应专项债务收入安排的支出（款）其他地方自行试点项目收益专项债券收入安排的支出（项）：其他地方自行试点项目收益专项债务收入安排的支出。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17.基本支出：指为保障机构正常运转、完成日常工作任务而发生的人员支出和公用支出。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18.项目支出：指在基本支出之外为完成特定行政任务和事业发展目标所发生的支出。 </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19.经营支出：指事业单位在专业业务活动及其辅助活动之外开展非独立核算经营活动发生的支出。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jc w:val="center"/>
        <w:rPr>
          <w:rStyle w:val="30"/>
          <w:rFonts w:hint="default" w:ascii="Times New Roman" w:hAnsi="Times New Roman" w:eastAsia="黑体" w:cs="Times New Roman"/>
          <w:b w:val="0"/>
          <w:color w:val="auto"/>
          <w:highlight w:val="none"/>
          <w:lang w:eastAsia="zh-CN"/>
        </w:rPr>
      </w:pPr>
      <w:bookmarkStart w:id="76"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77" w:name="_Toc6067"/>
      <w:bookmarkStart w:id="78" w:name="_Toc15396614"/>
      <w:r>
        <w:rPr>
          <w:rStyle w:val="30"/>
          <w:rFonts w:hint="eastAsia" w:ascii="黑体" w:hAnsi="黑体" w:eastAsia="黑体" w:cs="黑体"/>
          <w:b w:val="0"/>
          <w:bCs w:val="0"/>
        </w:rPr>
        <w:t>第四部分</w:t>
      </w:r>
      <w:r>
        <w:rPr>
          <w:rStyle w:val="30"/>
          <w:rFonts w:hint="eastAsia" w:ascii="黑体" w:hAnsi="黑体" w:eastAsia="黑体" w:cs="黑体"/>
          <w:b w:val="0"/>
          <w:bCs w:val="0"/>
          <w:lang w:val="en-US" w:eastAsia="zh-CN"/>
        </w:rPr>
        <w:t xml:space="preserve"> </w:t>
      </w:r>
      <w:r>
        <w:rPr>
          <w:rStyle w:val="30"/>
          <w:rFonts w:hint="eastAsia" w:ascii="黑体" w:hAnsi="黑体" w:eastAsia="黑体" w:cs="黑体"/>
          <w:b w:val="0"/>
          <w:bCs w:val="0"/>
        </w:rPr>
        <w:t xml:space="preserve"> 附件</w:t>
      </w:r>
      <w:bookmarkEnd w:id="77"/>
      <w:bookmarkEnd w:id="78"/>
    </w:p>
    <w:p>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color w:val="FF0000"/>
          <w:sz w:val="32"/>
          <w:szCs w:val="32"/>
          <w:highlight w:val="none"/>
        </w:rPr>
      </w:pPr>
    </w:p>
    <w:p>
      <w:pPr>
        <w:bidi w:val="0"/>
        <w:ind w:firstLine="643" w:firstLineChars="200"/>
        <w:rPr>
          <w:rFonts w:hint="default" w:ascii="Times New Roman" w:hAnsi="Times New Roman" w:cs="Times New Roman"/>
          <w:b/>
          <w:bCs/>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附件</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03"/>
        <w:gridCol w:w="877"/>
        <w:gridCol w:w="978"/>
        <w:gridCol w:w="376"/>
        <w:gridCol w:w="964"/>
        <w:gridCol w:w="414"/>
        <w:gridCol w:w="790"/>
        <w:gridCol w:w="456"/>
        <w:gridCol w:w="576"/>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51030022T000000324013-自贡恐龙博物馆陈列展览运行项目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0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保障博物馆的日常运行及对外开放，有序的开展科研、科普展览等开放活动，推广恐龙活动，推进博物馆事业发展</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2024年，自贡恐龙博物馆保障日常开放运营，积极开展恐龙主题科普活动，推出特色研学项目。全年接待游客160万人次，开展科普科教活动572场次。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年，自贡恐龙博物馆每日定时开放，保障场馆安全运营。科研方面开展恐龙化石研究，形成多项成果。长期举办恐龙及古生物主题科普展览，创新推出“恐龙奇妙夜”研学项目。与多所高校、博物馆合作交流，升级部分展陈设施，通过线上线下活动扩大恐龙文化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246.95</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246.95</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246.95</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246.95</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开展科普科教活动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场次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572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2022年接待游客数量</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万人次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160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博物馆全年开放天数</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360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天</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356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9.89</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职工定期培训及设备维护保养，每月第一个周一闭馆（节假日除外）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讲解服务人员培训合格率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时效指标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博物馆应急事件及时响应率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经济效益指标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实现门票收入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3034.01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开展科普科教活动，宣传恐龙文化知识，提升我馆知名度</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好坏</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好</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满意度指标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服务对象满意度指标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游客满意度</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99.89</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本项目绩效自评结果优，自评得分99.89.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开放天数未达预期，因设施设备维护及职工集中培训，每月第一周的周一闭馆（节假日除外），实际开放356天，较预期少4天。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优化开放安排：在保障设施设备维护及职工集中培训的前提下，合理安排及调整闭馆时间。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项目负责人：张州</w:t>
            </w:r>
          </w:p>
        </w:tc>
        <w:tc>
          <w:tcPr>
            <w:tcW w:w="26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bl>
    <w:p>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textWrapping"/>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35"/>
        <w:gridCol w:w="909"/>
        <w:gridCol w:w="1010"/>
        <w:gridCol w:w="376"/>
        <w:gridCol w:w="996"/>
        <w:gridCol w:w="446"/>
        <w:gridCol w:w="790"/>
        <w:gridCol w:w="456"/>
        <w:gridCol w:w="416"/>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51030022T000007212951-国家文物保护资金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0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 1.  自贡恐龙博物馆馆藏文物预防性保护：针对自贡恐龙博物馆库房文物保护专用设备、环境监测和环境调控设备缺失的现状，本方案编制以有效、适度为原则，采用相应的技术路线和措施，为库房珍贵文物创造“稳定、洁净”的安全保存环境，达到延缓文物劣化的目的，全面提升馆藏文物预防性保护水平。</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 xml:space="preserve"> 2.  自贡恐龙博物馆可移动文物预防性保护项目：进一步完善自贡恐龙博物馆预防性保护能力，建立馆藏文物保存环境监测系统，为对环境因素敏感的珍贵文物配置文物储藏柜架等文物展藏装置、完善文物养护手段等途径，多角度多途径全面提升该馆馆藏珍贵文物的预防性保护能力。针对自贡恐龙博物馆文物保存环境进行质量调控，配置恒湿净化一体机，运用多种调控手段对文物保存微环境实施有效的“稳定、洁净”调控，形成馆藏文物预防性风险管理机制，提升馆藏文物的预防性保护的综合能力。</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针对文物库房保护专用设备，环境监测设备的现状，本年度按照有效、适度的原则，制定年度目标并严格开展工作，为库房珍贵文物创造“稳定、洁净”的安全保存环境，达到延缓文物劣化的目的，提升文物预防性保护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本年度项目主要实施内容包括：安装恒湿一体机4套、环境检测系统4套、文物囊匣1批；安装定制文物存储柜、存储柜架1批、购置文物转运设备1批、文物库房专用门4扇。主要实施过程：一是制定项目实施方案，经专家评审后再进行招标程序；招标完成签订合同后进入实施阶段，包括存储设备、环境检测设备和系统安装和调试等，整个项目全部完工后组织专家</w:t>
            </w:r>
            <w:r>
              <w:rPr>
                <w:rFonts w:hint="eastAsia" w:cs="Times New Roman"/>
                <w:i w:val="0"/>
                <w:iCs w:val="0"/>
                <w:color w:val="000000"/>
                <w:kern w:val="0"/>
                <w:sz w:val="16"/>
                <w:szCs w:val="16"/>
                <w:u w:val="none"/>
                <w:lang w:val="en-US" w:eastAsia="zh-CN" w:bidi="ar"/>
              </w:rPr>
              <w:t>进行</w:t>
            </w:r>
            <w:r>
              <w:rPr>
                <w:rFonts w:hint="default" w:ascii="Times New Roman" w:hAnsi="Times New Roman" w:eastAsia="宋体" w:cs="Times New Roman"/>
                <w:i w:val="0"/>
                <w:iCs w:val="0"/>
                <w:color w:val="000000"/>
                <w:kern w:val="0"/>
                <w:sz w:val="16"/>
                <w:szCs w:val="16"/>
                <w:u w:val="none"/>
                <w:lang w:val="en-US" w:eastAsia="zh-CN" w:bidi="ar"/>
              </w:rPr>
              <w:t>现场验收；最后将所有资料上传国</w:t>
            </w:r>
            <w:r>
              <w:rPr>
                <w:rFonts w:hint="eastAsia" w:cs="Times New Roman"/>
                <w:i w:val="0"/>
                <w:iCs w:val="0"/>
                <w:color w:val="000000"/>
                <w:kern w:val="0"/>
                <w:sz w:val="16"/>
                <w:szCs w:val="16"/>
                <w:u w:val="none"/>
                <w:lang w:val="en-US" w:eastAsia="zh-CN" w:bidi="ar"/>
              </w:rPr>
              <w:t>保</w:t>
            </w:r>
            <w:r>
              <w:rPr>
                <w:rFonts w:hint="default" w:ascii="Times New Roman" w:hAnsi="Times New Roman" w:eastAsia="宋体" w:cs="Times New Roman"/>
                <w:i w:val="0"/>
                <w:iCs w:val="0"/>
                <w:color w:val="000000"/>
                <w:kern w:val="0"/>
                <w:sz w:val="16"/>
                <w:szCs w:val="16"/>
                <w:u w:val="none"/>
                <w:lang w:val="en-US" w:eastAsia="zh-CN" w:bidi="ar"/>
              </w:rPr>
              <w:t>资金管理平台申请结题。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272.80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272.80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272.80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272.80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馆藏文物环境监测系统（无线环境监测设备）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环境调控设备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购置文物储藏柜架</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文物储藏柜架购置</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文物囊架</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馆藏文物环境监测系统（离线环境巡检设备）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光环境及密闭性改造</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安全事故发生率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文物及设备毁损率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时效指标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项目完成时限</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项目实施周期</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改善化石保存环境，提高化石可利用时间，更好的服务于科研、科普和展陈</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优</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提升馆藏文物预防性保护能力，提高该馆文物收藏和展示环境实时监测、质量评估、有效调控和预防管理水平，保护了自贡历史文物。</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该批保护的文物为研究巴蜀文物艺术史提供了详细资料，见证了四川地区的历史文化，对研究四川地区历史文化特点具有重要意义。</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改善化石保护条件，延缓化石风化，提高化石保存时间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本项目分为自贡恐龙博物馆馆藏文物预防性保护项目和自贡恐龙博物馆可移动文物预防性保护项目，均已达到年度目标。其中自贡恐龙博物馆可移动文物预防性保护项目为两年期项目，正在实施中。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项目负责人：李飚</w:t>
            </w:r>
          </w:p>
        </w:tc>
        <w:tc>
          <w:tcPr>
            <w:tcW w:w="26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567"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626"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191"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618"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93"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402"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185"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59"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844"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bl>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16"/>
        <w:gridCol w:w="890"/>
        <w:gridCol w:w="991"/>
        <w:gridCol w:w="376"/>
        <w:gridCol w:w="977"/>
        <w:gridCol w:w="427"/>
        <w:gridCol w:w="790"/>
        <w:gridCol w:w="457"/>
        <w:gridCol w:w="497"/>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51030023T000007521758-省级文物保护专项资金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0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自贡大山铺恐龙化石考古勘探：通过对自贡大山铺恐龙化石群遗址勘探工作，既为优质文旅产品供给和大安区创建国家全域旅游示范区奠定良好的基础，也为自贡恐龙博物馆园区拓展规划提供资源支撑，从而实现恐龙博物馆向恐龙遗址公园的跨越，助力自贡市“文旅兴市”战略。</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2.自贡恐龙博物馆数字化保护及展示利用项目（二期）：    本项目将继续探索自贡恐龙博物馆古生物化石保护利用的数字化转型之路，借助科技手段，以数字化盘活自贡恐龙博物馆藏品资源，创新自贡恐龙博物馆公众服务形式，以综合化手段实现馆内业务的统一管理，全面提升博物馆管理服务效能，推进资源整合，加强文旅融合，以文促旅，以旅彰文，树立科普、遗址博物馆研究、管理、服务示范标杆。</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考古勘探：按照申报内容制定年度目标任务，克服天气炎热等诸多不利因素，很好地完成年度目标和申报内容。2.数字化：已完成实施方案的编制并通过评审，招标文件也已完成，确定中标供应商，签订合同后马上入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内容主要是修建勘探保护设施。主要过程：一是制定项目实施方案，经专家评审后进入招标程序；二是按照项目实施方案和项目绩效目标内容开展施工；三是项目完成后组织专家进行验收；最后将所有资料按照规定上传省保资金管理平台结题。本项目的实施内容为：1.完成144件恐龙骨骼化石（天府峨眉龙84件，李氏蜀龙60件）的藏品三维数据扫描采集与建模，实现藏品信息的数字化存档与藏品数据共享，支撑藏品保护、研究与利用工作；2.完成1套综合门户管理系统的开发建设，集成馆内资源并提供统一信息资源访问入口，为用户提供个性化的服务，真正提升馆内数字化管理水平。现在项目已完成实施方案的编制并已通过由市文物局组织的专家组评审。采购预公告于3月11日在四川省政府采购网上发布。招标文件也已编制完成，预计4月底就可以在四川政府采购网上正式发布，待五月初完成招标工作就可以确定中标供应商，签订合同后就可马上入场开始工作，预计10月底能完成项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35.37</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35.37</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35.37</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35.37</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勘探工作临时保护点设施</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处</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藏品三维数字化采集保护数量</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化石及围岩清理保护</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设计图纸及施工图纸</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综合门户管理系统</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化石清理保护效果达标率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安全事故发生率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项目验收合格率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时效指标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项目实施周期</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藏品三维数字化扫描数据可以用于科普宣传以及展场展示应用等</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大大提高观众的体验感</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提高化石保护意识、加强古生物化石知识宣传教育</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为后期自贡世界地质公园建设和恐龙博物馆园区拓展提供规划依据</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藏品三维数字扫描成果可用于科研、科普教育、线上和线下宣传、展场应用等方面</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满意度指标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博物馆参观人员满意度</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两年期项目，项目正在实施中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67.6</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本项目分为自贡大山铺恐龙化石考古勘探项目和自贡恐龙博物馆数字化保护及展示利用项目（二期），均已达到年度目标。其中自贡恐龙博物馆数字化保护及展示利用项目（二期）为两年期项目，正在实施中。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项目负责人：李飚</w:t>
            </w:r>
          </w:p>
        </w:tc>
        <w:tc>
          <w:tcPr>
            <w:tcW w:w="26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51"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567"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626"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191"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618"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93"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402"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185"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59"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844"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bl>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23"/>
        <w:gridCol w:w="897"/>
        <w:gridCol w:w="998"/>
        <w:gridCol w:w="376"/>
        <w:gridCol w:w="984"/>
        <w:gridCol w:w="434"/>
        <w:gridCol w:w="790"/>
        <w:gridCol w:w="456"/>
        <w:gridCol w:w="456"/>
        <w:gridCol w:w="1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51030023T000008014590-自贡恐龙博物馆陈列展览运行项目（管理）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0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保证博物馆的日常运营对外开放、服务游客，有序开展科研、科普等业务；推广宣传博物馆提高我馆的影响力，推动博物馆事业发展。</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2024年，自贡恐龙博物馆保障日常开放运营，积极开展恐龙主题科普活动，推出特色研学项目。全年接待游客160万人次，开展科普科教活动572场次。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年，自贡恐龙博物馆每日定时开放，保障场馆安全运营。科研方面开展恐龙化石研究，形成多项成果。长期举办恐龙及古生物主题科普展览，创新推出“恐龙奇妙夜”研学项目。与多所高校、博物馆合作交流，升级部分展陈设施，通过线上线下活动扩大恐龙文化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2,193.12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2,026.47</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2,026.47</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2,193.12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2,026.47</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2,026.47</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开展科普科教活动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场次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572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接待游客数量</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万人次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160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博物馆全年开放天数</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天</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356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讲解服务人员培训合格率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博物馆应急事件及时响应率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经济效益指标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实现门票收入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3020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3034.01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开展科普科教活动，宣传恐龙文化知识，提升我馆知名度</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好</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好</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满意度指标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服务对象满意度指标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游客满意度</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本项目绩效自评结果优，完成年度目标。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项目负责人：张州</w:t>
            </w:r>
          </w:p>
        </w:tc>
        <w:tc>
          <w:tcPr>
            <w:tcW w:w="26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567"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626"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191"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618"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93"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402"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185"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59"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844"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bl>
    <w:p>
      <w:pPr>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105"/>
        <w:gridCol w:w="802"/>
        <w:gridCol w:w="1036"/>
        <w:gridCol w:w="551"/>
        <w:gridCol w:w="594"/>
        <w:gridCol w:w="551"/>
        <w:gridCol w:w="1077"/>
        <w:gridCol w:w="485"/>
        <w:gridCol w:w="485"/>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51030023T000008368603-自恐博-办公设施设备替代升级（管理）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按替代升级要求配备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按替代升级要求配备3台黑白打印机，4台台式电脑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配备了3台黑白打印机，4台台式电脑，按照政府采购相关程序采用框架协议和商场直购进行采购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政府采购率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替代升级设备验收合格率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替代升级设备完成时间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设备利用率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替代升级设备可使用时间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本项目绩效自评结果优，完成年度目标。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项目负责人：周瑜昆</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bl>
    <w:p>
      <w:pPr>
        <w:rPr>
          <w:rFonts w:hint="default"/>
          <w:lang w:val="en-US" w:eastAsia="zh-CN"/>
        </w:rPr>
      </w:pPr>
      <w:r>
        <w:rPr>
          <w:rFonts w:hint="default"/>
          <w:lang w:val="en-US" w:eastAsia="zh-CN"/>
        </w:rPr>
        <w:br w:type="page"/>
      </w:r>
    </w:p>
    <w:p>
      <w:pPr>
        <w:pStyle w:val="2"/>
        <w:rPr>
          <w:rFonts w:hint="default"/>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16"/>
        <w:gridCol w:w="890"/>
        <w:gridCol w:w="991"/>
        <w:gridCol w:w="376"/>
        <w:gridCol w:w="977"/>
        <w:gridCol w:w="427"/>
        <w:gridCol w:w="790"/>
        <w:gridCol w:w="457"/>
        <w:gridCol w:w="497"/>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51030023T000009802991-川财教【2023】76号--2023年省级公共文化服务体系建设专项资金（文旅融合示范项目）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0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1、完成一号馆（恐龙遗址馆）场馆展示升级改造建；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2、完成二号馆（恐龙探秘馆）场馆陈列展示；</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3、完成场馆文旅接待服务设施</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恐龙探秘馆科普展示工程顺利完工，恐龙遗址馆安全检测、陈列大纲编写及概念设计等关键任务均有序推进，资金拨付合理且规范。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主要建设内容包括升级改造一号馆 6600㎡、完成二号馆 3300㎡陈列展示，完善文旅接待服务设施。实施过程中，博物馆成立领导小组推进项目，聘请第三方专业指导，纪检委员监管。重大事项通过馆长办公会决议，完工后组织专家验收。目前二号馆已完成科普展示工程，一号馆升级改造工作全面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73.99</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73.99</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73.99</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73.99</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新增游客数量</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新增旅游公厕面积</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二号馆（恐龙探秘馆）改造面积</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3300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一号馆（恐龙遗址馆）场馆展示升级改造面积</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6600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多年期项目，项目正在实施中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项目竣工验收合格率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时效指标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工程完成时间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经济效益指标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新增门票收入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170.58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对恐龙文化传播促进作用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提升博物馆展陈质量</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显著</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生态效益指标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建设阶段使用环保材料</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合格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项目完成后场馆使用年限</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满意度指标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服务对象满意度指标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游客满意度</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92.5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自贡恐龙博物馆展示提升文旅融合建设项目绩效完成良好，自评得分92.5。项目实施过程高效有序，恐龙探秘馆科普展示工程顺利完工，恐龙遗址馆安全检测、陈列大纲编写及概念设计等关键任务均有序推进，资金拨付合理且规范。项目建成后，不仅丰富博物馆基础展陈、增加临展空间，增设茶吧等消费项目，还将有效拉长参观路线、延长游客滞留时间，全方位提升全市文旅服务质量，为推动当地文旅产业高质量发展注入强大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由于项目建设内容与后期扩园存在关联性，为了保障规划协调统一，前期投入大量时间用于规划与调研，这拉长了项目筹备周期。同时，项目包含建筑加固改造和陈列展示，设计环节相互交织，致使施工流程繁杂，对项目实施进度产生一定影响，进而导致整体推进效率不高，预算执行节奏也受一定程度牵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加快项目推进，精准实施建设内容，建立高效协调小组，打通部门壁垒，加速决策流程，施工中组建专业联合团队，同步开展建筑加固与陈列设计，严格按照进度节点推进，确保项目如期完工。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项目负责人：李飚</w:t>
            </w:r>
          </w:p>
        </w:tc>
        <w:tc>
          <w:tcPr>
            <w:tcW w:w="26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51"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567"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626"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191"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618"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93"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402"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185"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59"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844" w:type="pct"/>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bl>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pStyle w:val="2"/>
        <w:rPr>
          <w:rFonts w:hint="default"/>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23"/>
        <w:gridCol w:w="897"/>
        <w:gridCol w:w="998"/>
        <w:gridCol w:w="376"/>
        <w:gridCol w:w="984"/>
        <w:gridCol w:w="434"/>
        <w:gridCol w:w="790"/>
        <w:gridCol w:w="456"/>
        <w:gridCol w:w="456"/>
        <w:gridCol w:w="1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51030024T000010336652-自贡恐龙博物馆重点科研课题项目（课题经费）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0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馆内自主课题项目，自然类和古生物类博物馆馆藏保护与管理研究、四川盆地恐龙动物群研究、“古生物有病”展览研究、四川盆地蜥脚类恐龙峨眉龙演化研究、恐龙翻模与装架研究等，切实提升科研水平，发表学术论文，增强行业影响力。</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本年度严格按照年度目标任务开展各项课题研究工作，全年共发表和交流学术论文10篇，合编专著1部，圆满完成年度工作任务。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本年度个</w:t>
            </w:r>
            <w:r>
              <w:rPr>
                <w:rFonts w:hint="eastAsia" w:cs="Times New Roman"/>
                <w:i w:val="0"/>
                <w:iCs w:val="0"/>
                <w:color w:val="000000"/>
                <w:kern w:val="0"/>
                <w:sz w:val="16"/>
                <w:szCs w:val="16"/>
                <w:u w:val="none"/>
                <w:lang w:val="en-US" w:eastAsia="zh-CN" w:bidi="ar"/>
              </w:rPr>
              <w:t>人</w:t>
            </w:r>
            <w:r>
              <w:rPr>
                <w:rFonts w:hint="default" w:ascii="Times New Roman" w:hAnsi="Times New Roman" w:eastAsia="宋体" w:cs="Times New Roman"/>
                <w:i w:val="0"/>
                <w:iCs w:val="0"/>
                <w:color w:val="000000"/>
                <w:kern w:val="0"/>
                <w:sz w:val="16"/>
                <w:szCs w:val="16"/>
                <w:u w:val="none"/>
                <w:lang w:val="en-US" w:eastAsia="zh-CN" w:bidi="ar"/>
              </w:rPr>
              <w:t>课题负责人认真开展课题实施，与课题组成员一道通过开展资料收集、野外调查、实地调研、标本对比等工作，获得大量第一手资料，然后对这些资料进行分析归纳，最终撰写科研论文和专题展览。这些成果也陆续获得“四川省十大精品陈列”、“优秀科研课题”等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35.75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13.53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13.53</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35.75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13.53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13.53</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研究报告</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份</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完成专著</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部</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发表论文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为广大恐龙爱好者提供权威的资料</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部</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提升科研水平扩大影响力</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好</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好</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科研课题形成的成果对未来工作的影响年限</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本项目绩效自评结果优，完成年度目标。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项目负责人：李飚</w:t>
            </w:r>
          </w:p>
        </w:tc>
        <w:tc>
          <w:tcPr>
            <w:tcW w:w="26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757"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567"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626"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191"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618"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293"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402"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185"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259"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c>
          <w:tcPr>
            <w:tcW w:w="844" w:type="pct"/>
            <w:tcBorders>
              <w:top w:val="nil"/>
              <w:left w:val="nil"/>
              <w:bottom w:val="nil"/>
              <w:right w:val="nil"/>
            </w:tcBorders>
            <w:shd w:val="clear" w:color="auto" w:fill="auto"/>
            <w:vAlign w:val="center"/>
          </w:tcPr>
          <w:p>
            <w:pPr>
              <w:rPr>
                <w:rFonts w:hint="default" w:ascii="Times New Roman" w:hAnsi="Times New Roman" w:eastAsia="黑体" w:cs="Times New Roman"/>
                <w:i w:val="0"/>
                <w:iCs w:val="0"/>
                <w:color w:val="000000"/>
                <w:sz w:val="16"/>
                <w:szCs w:val="16"/>
                <w:u w:val="none"/>
              </w:rPr>
            </w:pPr>
          </w:p>
        </w:tc>
      </w:tr>
    </w:tbl>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79" w:name="_Toc15396618"/>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pStyle w:val="2"/>
        <w:rPr>
          <w:rFonts w:hint="default"/>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23"/>
        <w:gridCol w:w="897"/>
        <w:gridCol w:w="998"/>
        <w:gridCol w:w="376"/>
        <w:gridCol w:w="984"/>
        <w:gridCol w:w="434"/>
        <w:gridCol w:w="790"/>
        <w:gridCol w:w="456"/>
        <w:gridCol w:w="456"/>
        <w:gridCol w:w="1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51030024T000010534920-自恐博恐龙文创周边深度开发项目（市文旅专项）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0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本项目预计于2024年启动，为期一年，我馆是全球收藏中侏罗世恐龙化石最多的恐龙博物馆，拥有众多可以用于文创开发的原始素材，要提升用于文创开发的程度。开发新的文创产品，从实用性、功能性都还与游客的需求有</w:t>
            </w:r>
            <w:r>
              <w:rPr>
                <w:rFonts w:hint="eastAsia" w:cs="Times New Roman"/>
                <w:i w:val="0"/>
                <w:iCs w:val="0"/>
                <w:color w:val="000000"/>
                <w:kern w:val="0"/>
                <w:sz w:val="16"/>
                <w:szCs w:val="16"/>
                <w:u w:val="none"/>
                <w:lang w:val="en-US" w:eastAsia="zh-CN" w:bidi="ar"/>
              </w:rPr>
              <w:t>较好的</w:t>
            </w:r>
            <w:r>
              <w:rPr>
                <w:rFonts w:hint="default" w:ascii="Times New Roman" w:hAnsi="Times New Roman" w:eastAsia="宋体" w:cs="Times New Roman"/>
                <w:i w:val="0"/>
                <w:iCs w:val="0"/>
                <w:color w:val="000000"/>
                <w:kern w:val="0"/>
                <w:sz w:val="16"/>
                <w:szCs w:val="16"/>
                <w:u w:val="none"/>
                <w:lang w:val="en-US" w:eastAsia="zh-CN" w:bidi="ar"/>
              </w:rPr>
              <w:t>结合。线上线下融合起来，网络营销依靠品牌产品支持，品牌建设与保护以及跨界融合逐步起步。预期产品为馆增收5万/年，可持续三年。</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利用专项资金与成都霁野商贸有限公司合作开发出儿童书包、笔记本、文具盒和山海奇域礼盒（丝巾和皮带）。涵盖文具、生活用品，满足了不同游客喜好。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 需求调研阶段：深入了解游客喜好、市场趋势，聚焦儿童群体，收集书包、文具设计偏好数据。</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 设计开发阶段：联合专业团队，融入恐龙元素设计产品，严格打样选品，确保品质与文化内涵兼具。</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 生产推广阶段：甄选优质厂商生产，线上线下多渠道推广，于馆内设专柜、线上平台同步售卖，提升品牌知名度与销量。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完成恐龙文创系列</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完成线上线下宣传</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时效指标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文创产品开发完成时间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经济效益指标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完成产品开发并投入市场后年均带来收益</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文创售卖可持续年限</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本项目绩效自评结果优，完成年度目标。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项目负责人：张州</w:t>
            </w:r>
          </w:p>
        </w:tc>
        <w:tc>
          <w:tcPr>
            <w:tcW w:w="26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bl>
    <w:p>
      <w:pPr>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pStyle w:val="2"/>
        <w:rPr>
          <w:rFonts w:hint="default"/>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1225"/>
        <w:gridCol w:w="897"/>
        <w:gridCol w:w="1023"/>
        <w:gridCol w:w="355"/>
        <w:gridCol w:w="983"/>
        <w:gridCol w:w="438"/>
        <w:gridCol w:w="781"/>
        <w:gridCol w:w="457"/>
        <w:gridCol w:w="457"/>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51030024Y000010336562-其他运转支出（管理）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5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7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维持伙食团运转，为职工准点提供餐食，做好后勤保障工作。</w:t>
            </w:r>
          </w:p>
        </w:tc>
        <w:tc>
          <w:tcPr>
            <w:tcW w:w="17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完成了12个月的食材配送，确保菜品新鲜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按照政府采购流程确定了采购供应商</w:t>
            </w:r>
            <w:r>
              <w:rPr>
                <w:rFonts w:hint="eastAsia" w:cs="Times New Roman"/>
                <w:i w:val="0"/>
                <w:iCs w:val="0"/>
                <w:color w:val="000000"/>
                <w:kern w:val="0"/>
                <w:sz w:val="16"/>
                <w:szCs w:val="16"/>
                <w:u w:val="none"/>
                <w:lang w:val="en-US" w:eastAsia="zh-CN" w:bidi="ar"/>
              </w:rPr>
              <w:t>进行</w:t>
            </w:r>
            <w:r>
              <w:rPr>
                <w:rFonts w:hint="default" w:ascii="Times New Roman" w:hAnsi="Times New Roman" w:eastAsia="宋体" w:cs="Times New Roman"/>
                <w:i w:val="0"/>
                <w:iCs w:val="0"/>
                <w:color w:val="000000"/>
                <w:kern w:val="0"/>
                <w:sz w:val="16"/>
                <w:szCs w:val="16"/>
                <w:u w:val="none"/>
                <w:lang w:val="en-US" w:eastAsia="zh-CN" w:bidi="ar"/>
              </w:rPr>
              <w:t>食材配送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0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56.46</w:t>
            </w:r>
          </w:p>
        </w:tc>
        <w:tc>
          <w:tcPr>
            <w:tcW w:w="10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56.46</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56.46</w:t>
            </w:r>
          </w:p>
        </w:tc>
        <w:tc>
          <w:tcPr>
            <w:tcW w:w="10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56.46</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0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0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0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午餐菜品种类</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提供餐食准点率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98</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社会效益指标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食品安全应急处理及时率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提供来馆志愿者工作餐覆盖率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成本指标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经济成本指标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全天人均伙食标准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本项目绩效自评结果优，完成年度目标。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 w:hRule="atLeast"/>
        </w:trPr>
        <w:tc>
          <w:tcPr>
            <w:tcW w:w="23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项目负责人：周瑜昆</w:t>
            </w:r>
          </w:p>
        </w:tc>
        <w:tc>
          <w:tcPr>
            <w:tcW w:w="263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bl>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35"/>
        <w:gridCol w:w="909"/>
        <w:gridCol w:w="1010"/>
        <w:gridCol w:w="376"/>
        <w:gridCol w:w="996"/>
        <w:gridCol w:w="446"/>
        <w:gridCol w:w="790"/>
        <w:gridCol w:w="456"/>
        <w:gridCol w:w="384"/>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项目名称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51030025T000012357942-自贡恐龙博物馆场馆建设及配套基础设施提升改造项目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主管部门</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自贡市文化广播电视和旅游局部门</w:t>
            </w:r>
          </w:p>
        </w:tc>
        <w:tc>
          <w:tcPr>
            <w:tcW w:w="40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项目基本情况</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项目年度目标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完成新建自贡恐龙博物馆3号馆10000㎡，改建现有场馆9300㎡，改扩建藏品库房7000㎡，改建生态停车场6400㎡以及配套建设相关附属基础设施。</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完成了遗址馆改造提升工程的概念设计方案征集、优化工作；完成了3号馆建筑设计方案和初设方案的编制。已取得建筑设计方案批复，正在进行初设和概算报审工作。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2.项目实施内容及过程概述</w:t>
            </w:r>
          </w:p>
        </w:tc>
        <w:tc>
          <w:tcPr>
            <w:tcW w:w="39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要建设内容完成新建自贡恐龙博物馆3号馆10000㎡，改建现有场馆9300㎡，改扩建藏品库房7000㎡，改建生态停车场6400㎡以及配套建设相关附属基础设施。实施过程中，博物馆成立领导小组推进项目，聘请第三方专业指导，纪检委员监管。重大事项通过馆长办公会决议。目前遗址馆升级改造工作全面启动，3号馆已完成建筑设计方案和初设的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预算执行情况（10分）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年度预算数（万元）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年初预算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93.00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93.00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其中：财政资金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93.00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93.00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单位资金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黑体" w:cs="Times New Roman"/>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绩效指标（90分）</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二级指标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指标性质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数量指标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改建生态停车场</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多年期项目，项目正在实施中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新建场馆</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多年期项目，项目正在实施中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改建主展馆</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6600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多年期项目，项目正在实施中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质量指标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项目竣工验收合格率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多年期项目，项目正在实施中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效益指标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经济效益指标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新增门票收入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多年期项目，项目正在实施中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成本指标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经济成本指标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总体投入成本</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微软雅黑"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评价结论</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贡恐龙博物馆场馆建设及配套基础设施提升改造项目属于多年期项目，项目正在实施中。项目涵盖新建、改建等内容，实施中管理规范，多举措保障推进。目前关键任务有序开展，资金拨付合理。建成后，将丰富博物馆展陈，增加消费项目，延长游客停留时间，提升全市文旅服务质量，有力推动当地文旅产业高质量发展，整体成效显著，前景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存在问题</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改进措施</w:t>
            </w:r>
          </w:p>
        </w:tc>
        <w:tc>
          <w:tcPr>
            <w:tcW w:w="47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3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项目负责人：张州</w:t>
            </w:r>
          </w:p>
        </w:tc>
        <w:tc>
          <w:tcPr>
            <w:tcW w:w="26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财务负责人：黄欣悦</w:t>
            </w:r>
          </w:p>
        </w:tc>
      </w:tr>
    </w:tbl>
    <w:p>
      <w:pPr>
        <w:pStyle w:val="9"/>
        <w:rPr>
          <w:rFonts w:hint="default" w:ascii="Times New Roman" w:hAnsi="Times New Roman" w:eastAsia="仿宋_GB2312" w:cs="Times New Roman"/>
          <w:b w:val="0"/>
          <w:bCs w:val="0"/>
          <w:kern w:val="0"/>
          <w:position w:val="0"/>
          <w:sz w:val="32"/>
          <w:szCs w:val="32"/>
          <w:highlight w:val="none"/>
          <w:lang w:val="en-US" w:eastAsia="zh-CN" w:bidi="ar-SA"/>
        </w:rPr>
      </w:pPr>
    </w:p>
    <w:p>
      <w:pPr>
        <w:rPr>
          <w:rFonts w:hint="default"/>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widowControl/>
        <w:jc w:val="center"/>
        <w:outlineLvl w:val="0"/>
        <w:rPr>
          <w:rFonts w:hint="default" w:ascii="Times New Roman" w:hAnsi="Times New Roman" w:eastAsia="仿宋" w:cs="Times New Roman"/>
          <w:b w:val="0"/>
          <w:color w:val="auto"/>
          <w:highlight w:val="none"/>
        </w:rPr>
      </w:pPr>
      <w:bookmarkStart w:id="80" w:name="_Toc4200"/>
      <w:r>
        <w:rPr>
          <w:rFonts w:hint="default" w:ascii="Times New Roman" w:hAnsi="Times New Roman" w:eastAsia="黑体" w:cs="Times New Roman"/>
          <w:color w:val="auto"/>
          <w:sz w:val="44"/>
          <w:szCs w:val="44"/>
          <w:highlight w:val="none"/>
        </w:rPr>
        <w:t>第</w:t>
      </w:r>
      <w:r>
        <w:rPr>
          <w:rStyle w:val="30"/>
          <w:rFonts w:hint="default" w:ascii="Times New Roman" w:hAnsi="Times New Roman" w:eastAsia="黑体" w:cs="Times New Roman"/>
          <w:b w:val="0"/>
          <w:color w:val="auto"/>
          <w:highlight w:val="none"/>
        </w:rPr>
        <w:t>五部分 附表</w:t>
      </w:r>
      <w:bookmarkEnd w:id="76"/>
      <w:bookmarkEnd w:id="79"/>
      <w:bookmarkEnd w:id="80"/>
      <w:bookmarkStart w:id="81"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pStyle w:val="6"/>
        <w:bidi w:val="0"/>
        <w:rPr>
          <w:rFonts w:hint="default" w:ascii="Times New Roman" w:hAnsi="Times New Roman" w:cs="Times New Roman"/>
        </w:rPr>
      </w:pPr>
      <w:bookmarkStart w:id="82" w:name="_Toc3644"/>
      <w:r>
        <w:rPr>
          <w:rFonts w:hint="default" w:ascii="Times New Roman" w:hAnsi="Times New Roman" w:cs="Times New Roman"/>
        </w:rPr>
        <w:t>一、收入支出决算总表</w:t>
      </w:r>
      <w:bookmarkEnd w:id="81"/>
      <w:bookmarkEnd w:id="82"/>
    </w:p>
    <w:p>
      <w:pPr>
        <w:pStyle w:val="6"/>
        <w:bidi w:val="0"/>
        <w:rPr>
          <w:rFonts w:hint="default" w:ascii="Times New Roman" w:hAnsi="Times New Roman" w:cs="Times New Roman"/>
        </w:rPr>
      </w:pPr>
      <w:bookmarkStart w:id="83" w:name="_Toc15396620"/>
      <w:bookmarkStart w:id="84" w:name="_Toc27484"/>
      <w:r>
        <w:rPr>
          <w:rFonts w:hint="default" w:ascii="Times New Roman" w:hAnsi="Times New Roman" w:cs="Times New Roman"/>
        </w:rPr>
        <w:t>二、收入决算表</w:t>
      </w:r>
      <w:bookmarkEnd w:id="83"/>
      <w:bookmarkEnd w:id="84"/>
    </w:p>
    <w:p>
      <w:pPr>
        <w:pStyle w:val="6"/>
        <w:bidi w:val="0"/>
        <w:rPr>
          <w:rFonts w:hint="default" w:ascii="Times New Roman" w:hAnsi="Times New Roman" w:cs="Times New Roman"/>
        </w:rPr>
      </w:pPr>
      <w:bookmarkStart w:id="85" w:name="_Toc25811"/>
      <w:bookmarkStart w:id="86" w:name="_Toc15396621"/>
      <w:r>
        <w:rPr>
          <w:rFonts w:hint="default" w:ascii="Times New Roman" w:hAnsi="Times New Roman" w:cs="Times New Roman"/>
        </w:rPr>
        <w:t>三、支出决算表</w:t>
      </w:r>
      <w:bookmarkEnd w:id="85"/>
      <w:bookmarkEnd w:id="86"/>
    </w:p>
    <w:p>
      <w:pPr>
        <w:pStyle w:val="6"/>
        <w:bidi w:val="0"/>
        <w:rPr>
          <w:rFonts w:hint="default" w:ascii="Times New Roman" w:hAnsi="Times New Roman" w:cs="Times New Roman"/>
        </w:rPr>
      </w:pPr>
      <w:bookmarkStart w:id="87" w:name="_Toc15396622"/>
      <w:bookmarkStart w:id="88" w:name="_Toc18393"/>
      <w:r>
        <w:rPr>
          <w:rFonts w:hint="default" w:ascii="Times New Roman" w:hAnsi="Times New Roman" w:cs="Times New Roman"/>
        </w:rPr>
        <w:t>四、财政拨款收入支出决算总表</w:t>
      </w:r>
      <w:bookmarkEnd w:id="87"/>
      <w:bookmarkEnd w:id="88"/>
    </w:p>
    <w:p>
      <w:pPr>
        <w:pStyle w:val="6"/>
        <w:bidi w:val="0"/>
        <w:rPr>
          <w:rFonts w:hint="default" w:ascii="Times New Roman" w:hAnsi="Times New Roman" w:cs="Times New Roman"/>
        </w:rPr>
      </w:pPr>
      <w:bookmarkStart w:id="89" w:name="_Toc15396623"/>
      <w:bookmarkStart w:id="90" w:name="_Toc27324"/>
      <w:r>
        <w:rPr>
          <w:rFonts w:hint="default" w:ascii="Times New Roman" w:hAnsi="Times New Roman" w:cs="Times New Roman"/>
        </w:rPr>
        <w:t>五、财政拨款支出决算明细表</w:t>
      </w:r>
      <w:bookmarkEnd w:id="89"/>
      <w:bookmarkEnd w:id="90"/>
      <w:bookmarkStart w:id="91" w:name="_Toc15396624"/>
    </w:p>
    <w:p>
      <w:pPr>
        <w:pStyle w:val="6"/>
        <w:bidi w:val="0"/>
        <w:rPr>
          <w:rFonts w:hint="default" w:ascii="Times New Roman" w:hAnsi="Times New Roman" w:cs="Times New Roman"/>
        </w:rPr>
      </w:pPr>
      <w:bookmarkStart w:id="92" w:name="_Toc12192"/>
      <w:r>
        <w:rPr>
          <w:rFonts w:hint="default" w:ascii="Times New Roman" w:hAnsi="Times New Roman" w:cs="Times New Roman"/>
        </w:rPr>
        <w:t>六、一般公共预算财政拨款支出决算表</w:t>
      </w:r>
      <w:bookmarkEnd w:id="91"/>
      <w:bookmarkEnd w:id="92"/>
    </w:p>
    <w:p>
      <w:pPr>
        <w:pStyle w:val="6"/>
        <w:bidi w:val="0"/>
        <w:rPr>
          <w:rFonts w:hint="default" w:ascii="Times New Roman" w:hAnsi="Times New Roman" w:cs="Times New Roman"/>
        </w:rPr>
      </w:pPr>
      <w:bookmarkStart w:id="93" w:name="_Toc15396625"/>
      <w:bookmarkStart w:id="94" w:name="_Toc25592"/>
      <w:r>
        <w:rPr>
          <w:rFonts w:hint="default" w:ascii="Times New Roman" w:hAnsi="Times New Roman" w:cs="Times New Roman"/>
        </w:rPr>
        <w:t>七、一般公共预算财政拨款支出决算明细表</w:t>
      </w:r>
      <w:bookmarkEnd w:id="93"/>
      <w:bookmarkEnd w:id="94"/>
    </w:p>
    <w:p>
      <w:pPr>
        <w:pStyle w:val="6"/>
        <w:bidi w:val="0"/>
        <w:rPr>
          <w:rFonts w:hint="default" w:ascii="Times New Roman" w:hAnsi="Times New Roman" w:cs="Times New Roman"/>
        </w:rPr>
      </w:pPr>
      <w:bookmarkStart w:id="95" w:name="_Toc15396626"/>
      <w:bookmarkStart w:id="96" w:name="_Toc23257"/>
      <w:r>
        <w:rPr>
          <w:rFonts w:hint="default" w:ascii="Times New Roman" w:hAnsi="Times New Roman" w:cs="Times New Roman"/>
        </w:rPr>
        <w:t>八、一般公共预算财政拨款基本支出决算表</w:t>
      </w:r>
      <w:bookmarkEnd w:id="95"/>
      <w:bookmarkEnd w:id="96"/>
    </w:p>
    <w:p>
      <w:pPr>
        <w:pStyle w:val="6"/>
        <w:bidi w:val="0"/>
        <w:rPr>
          <w:rFonts w:hint="default" w:ascii="Times New Roman" w:hAnsi="Times New Roman" w:cs="Times New Roman"/>
        </w:rPr>
      </w:pPr>
      <w:bookmarkStart w:id="97" w:name="_Toc9133"/>
      <w:bookmarkStart w:id="98" w:name="_Toc15396627"/>
      <w:r>
        <w:rPr>
          <w:rFonts w:hint="default" w:ascii="Times New Roman" w:hAnsi="Times New Roman" w:cs="Times New Roman"/>
        </w:rPr>
        <w:t>九、一般公共预算财政拨款项目支出决算表</w:t>
      </w:r>
      <w:bookmarkEnd w:id="97"/>
      <w:bookmarkEnd w:id="98"/>
    </w:p>
    <w:p>
      <w:pPr>
        <w:pStyle w:val="6"/>
        <w:bidi w:val="0"/>
        <w:rPr>
          <w:rFonts w:hint="default" w:ascii="Times New Roman" w:hAnsi="Times New Roman" w:cs="Times New Roman"/>
        </w:rPr>
      </w:pPr>
      <w:bookmarkStart w:id="99" w:name="_Toc15396628"/>
      <w:bookmarkStart w:id="100" w:name="_Toc17726"/>
      <w:r>
        <w:rPr>
          <w:rFonts w:hint="default" w:ascii="Times New Roman" w:hAnsi="Times New Roman" w:cs="Times New Roman"/>
        </w:rPr>
        <w:t>十、</w:t>
      </w:r>
      <w:bookmarkEnd w:id="99"/>
      <w:r>
        <w:rPr>
          <w:rFonts w:hint="default" w:ascii="Times New Roman" w:hAnsi="Times New Roman" w:cs="Times New Roman"/>
        </w:rPr>
        <w:t>政府性基金预算财政拨款收入支出决算表</w:t>
      </w:r>
      <w:bookmarkEnd w:id="100"/>
    </w:p>
    <w:p>
      <w:pPr>
        <w:pStyle w:val="6"/>
        <w:bidi w:val="0"/>
        <w:rPr>
          <w:rFonts w:hint="default" w:ascii="Times New Roman" w:hAnsi="Times New Roman" w:cs="Times New Roman"/>
        </w:rPr>
      </w:pPr>
      <w:bookmarkStart w:id="101" w:name="_Toc15396629"/>
      <w:bookmarkStart w:id="102" w:name="_Toc7955"/>
      <w:r>
        <w:rPr>
          <w:rFonts w:hint="default" w:ascii="Times New Roman" w:hAnsi="Times New Roman" w:cs="Times New Roman"/>
        </w:rPr>
        <w:t>十一、</w:t>
      </w:r>
      <w:bookmarkEnd w:id="101"/>
      <w:r>
        <w:rPr>
          <w:rFonts w:hint="default" w:ascii="Times New Roman" w:hAnsi="Times New Roman" w:cs="Times New Roman"/>
        </w:rPr>
        <w:t>国有资本经营预算</w:t>
      </w:r>
      <w:r>
        <w:rPr>
          <w:rFonts w:hint="default" w:ascii="Times New Roman" w:hAnsi="Times New Roman" w:cs="Times New Roman"/>
          <w:lang w:eastAsia="zh-CN"/>
        </w:rPr>
        <w:t>财政拨款收入</w:t>
      </w:r>
      <w:r>
        <w:rPr>
          <w:rFonts w:hint="default" w:ascii="Times New Roman" w:hAnsi="Times New Roman" w:cs="Times New Roman"/>
        </w:rPr>
        <w:t>支出决算表</w:t>
      </w:r>
      <w:bookmarkEnd w:id="102"/>
    </w:p>
    <w:p>
      <w:pPr>
        <w:pStyle w:val="6"/>
        <w:bidi w:val="0"/>
        <w:rPr>
          <w:rFonts w:hint="default" w:ascii="Times New Roman" w:hAnsi="Times New Roman" w:cs="Times New Roman"/>
        </w:rPr>
      </w:pPr>
      <w:bookmarkStart w:id="103" w:name="_Toc15396630"/>
      <w:bookmarkStart w:id="104" w:name="_Toc32231"/>
      <w:r>
        <w:rPr>
          <w:rFonts w:hint="default" w:ascii="Times New Roman" w:hAnsi="Times New Roman" w:cs="Times New Roman"/>
        </w:rPr>
        <w:t>十二、</w:t>
      </w:r>
      <w:bookmarkEnd w:id="103"/>
      <w:r>
        <w:rPr>
          <w:rFonts w:hint="default" w:ascii="Times New Roman" w:hAnsi="Times New Roman" w:cs="Times New Roman"/>
          <w:lang w:eastAsia="zh-CN"/>
        </w:rPr>
        <w:t>国有资本经营预算财政拨款支出决算表</w:t>
      </w:r>
      <w:bookmarkEnd w:id="104"/>
    </w:p>
    <w:p>
      <w:pPr>
        <w:pStyle w:val="6"/>
        <w:bidi w:val="0"/>
        <w:rPr>
          <w:rFonts w:hint="default" w:ascii="Times New Roman" w:hAnsi="Times New Roman" w:cs="Times New Roman"/>
          <w:lang w:eastAsia="zh-CN"/>
        </w:rPr>
      </w:pPr>
      <w:bookmarkStart w:id="105" w:name="_Toc15396631"/>
      <w:bookmarkStart w:id="106" w:name="_Toc25759"/>
      <w:r>
        <w:rPr>
          <w:rFonts w:hint="default" w:ascii="Times New Roman" w:hAnsi="Times New Roman" w:cs="Times New Roman"/>
        </w:rPr>
        <w:t>十三、</w:t>
      </w:r>
      <w:bookmarkEnd w:id="105"/>
      <w:r>
        <w:rPr>
          <w:rFonts w:hint="default" w:ascii="Times New Roman" w:hAnsi="Times New Roman" w:cs="Times New Roman"/>
          <w:lang w:eastAsia="zh-CN"/>
        </w:rPr>
        <w:t>财政拨款“三公”经费支出决算表</w:t>
      </w:r>
      <w:bookmarkEnd w:id="106"/>
    </w:p>
    <w:p>
      <w:pPr>
        <w:rPr>
          <w:rFonts w:hint="default" w:ascii="Times New Roman" w:hAnsi="Times New Roman" w:cs="Times New Roman"/>
          <w:highlight w:val="none"/>
          <w:lang w:eastAsia="zh-CN"/>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213"/>
        <w:tab w:val="left" w:pos="4877"/>
      </w:tabs>
      <w:jc w:val="left"/>
    </w:pPr>
    <w:r>
      <w:rPr>
        <w:rFonts w:hint="eastAsia"/>
        <w:sz w:val="18"/>
        <w:lang w:eastAsia="zh-CN"/>
      </w:rPr>
      <w:tab/>
    </w:r>
    <w:r>
      <w:rPr>
        <w:rFonts w:hint="eastAsia"/>
        <w:lang w:eastAsia="zh-CN"/>
      </w:rPr>
      <w:tab/>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213"/>
        <w:tab w:val="left" w:pos="4877"/>
      </w:tabs>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8"/>
        <w:lang w:eastAsia="zh-CN"/>
      </w:rPr>
      <w:tab/>
    </w:r>
    <w:r>
      <w:rPr>
        <w:rFonts w:hint="eastAsia"/>
        <w:lang w:eastAsia="zh-CN"/>
      </w:rPr>
      <w:tab/>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1274C"/>
    <w:multiLevelType w:val="singleLevel"/>
    <w:tmpl w:val="F49127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61E35DE"/>
    <w:rsid w:val="066E0107"/>
    <w:rsid w:val="06CC04D0"/>
    <w:rsid w:val="076104D5"/>
    <w:rsid w:val="0786081B"/>
    <w:rsid w:val="07996F6E"/>
    <w:rsid w:val="07DFD8BA"/>
    <w:rsid w:val="09742C45"/>
    <w:rsid w:val="09867E8F"/>
    <w:rsid w:val="0A2032A3"/>
    <w:rsid w:val="0A9A55ED"/>
    <w:rsid w:val="0B104222"/>
    <w:rsid w:val="0CA8290A"/>
    <w:rsid w:val="0D35B1ED"/>
    <w:rsid w:val="0F98263C"/>
    <w:rsid w:val="0FBB0A77"/>
    <w:rsid w:val="101860EC"/>
    <w:rsid w:val="10C055FF"/>
    <w:rsid w:val="11772AA4"/>
    <w:rsid w:val="118107EC"/>
    <w:rsid w:val="13D50BC4"/>
    <w:rsid w:val="147D15A5"/>
    <w:rsid w:val="1641409C"/>
    <w:rsid w:val="165E0673"/>
    <w:rsid w:val="16AF24A0"/>
    <w:rsid w:val="16BB723D"/>
    <w:rsid w:val="17372DB3"/>
    <w:rsid w:val="176C4A4E"/>
    <w:rsid w:val="186504BB"/>
    <w:rsid w:val="19A445FC"/>
    <w:rsid w:val="1A9FE8C6"/>
    <w:rsid w:val="1BE8440E"/>
    <w:rsid w:val="1D155CEE"/>
    <w:rsid w:val="1E532269"/>
    <w:rsid w:val="1E740ACF"/>
    <w:rsid w:val="1FF35744"/>
    <w:rsid w:val="1FF6BC77"/>
    <w:rsid w:val="20034E65"/>
    <w:rsid w:val="237E3355"/>
    <w:rsid w:val="23860B96"/>
    <w:rsid w:val="240371BF"/>
    <w:rsid w:val="245D5054"/>
    <w:rsid w:val="260F557C"/>
    <w:rsid w:val="26EA47C9"/>
    <w:rsid w:val="27554626"/>
    <w:rsid w:val="281408E2"/>
    <w:rsid w:val="29FD04D3"/>
    <w:rsid w:val="2B7B5B80"/>
    <w:rsid w:val="2BFF7BC6"/>
    <w:rsid w:val="2C8A61B5"/>
    <w:rsid w:val="2DF04E50"/>
    <w:rsid w:val="2F040D46"/>
    <w:rsid w:val="2FAE5751"/>
    <w:rsid w:val="2FB1A395"/>
    <w:rsid w:val="2FD9A7D8"/>
    <w:rsid w:val="2FDBF714"/>
    <w:rsid w:val="305834AB"/>
    <w:rsid w:val="312439C3"/>
    <w:rsid w:val="319F7F4E"/>
    <w:rsid w:val="32BD1EF1"/>
    <w:rsid w:val="3304709D"/>
    <w:rsid w:val="349D6851"/>
    <w:rsid w:val="36AA5135"/>
    <w:rsid w:val="36BE0DA7"/>
    <w:rsid w:val="376B6AA6"/>
    <w:rsid w:val="376D39B2"/>
    <w:rsid w:val="37E16F03"/>
    <w:rsid w:val="37F53A3B"/>
    <w:rsid w:val="389B6C89"/>
    <w:rsid w:val="38D469F0"/>
    <w:rsid w:val="39627CCD"/>
    <w:rsid w:val="397BAF1F"/>
    <w:rsid w:val="3AB6680E"/>
    <w:rsid w:val="3AB79AF3"/>
    <w:rsid w:val="3B7EF35A"/>
    <w:rsid w:val="3B9FDB6C"/>
    <w:rsid w:val="3BF5BC2F"/>
    <w:rsid w:val="3CEBA265"/>
    <w:rsid w:val="3D98207C"/>
    <w:rsid w:val="3DEE7CF3"/>
    <w:rsid w:val="3E78745D"/>
    <w:rsid w:val="3F55381A"/>
    <w:rsid w:val="3F7F7599"/>
    <w:rsid w:val="3FA925F6"/>
    <w:rsid w:val="3FF4CAE0"/>
    <w:rsid w:val="3FF7B227"/>
    <w:rsid w:val="425028B2"/>
    <w:rsid w:val="432A742E"/>
    <w:rsid w:val="44E268DA"/>
    <w:rsid w:val="486A6C7A"/>
    <w:rsid w:val="49BC542E"/>
    <w:rsid w:val="4A627F82"/>
    <w:rsid w:val="4B0E749A"/>
    <w:rsid w:val="4B4F25DA"/>
    <w:rsid w:val="4BE068DB"/>
    <w:rsid w:val="4D577224"/>
    <w:rsid w:val="4DBF1CEB"/>
    <w:rsid w:val="4EAB630A"/>
    <w:rsid w:val="4ECE2238"/>
    <w:rsid w:val="4EEC5E72"/>
    <w:rsid w:val="4F833267"/>
    <w:rsid w:val="4FE9BD67"/>
    <w:rsid w:val="4FFB052F"/>
    <w:rsid w:val="50190FC0"/>
    <w:rsid w:val="537E6D0A"/>
    <w:rsid w:val="53F74C96"/>
    <w:rsid w:val="555F055A"/>
    <w:rsid w:val="56E47B74"/>
    <w:rsid w:val="57BD3DD4"/>
    <w:rsid w:val="593105AA"/>
    <w:rsid w:val="5AF92295"/>
    <w:rsid w:val="5BDD79E6"/>
    <w:rsid w:val="5BF561CA"/>
    <w:rsid w:val="5BFF5DFC"/>
    <w:rsid w:val="5C741876"/>
    <w:rsid w:val="5CD71FC4"/>
    <w:rsid w:val="5D1F11B5"/>
    <w:rsid w:val="5DAE1B18"/>
    <w:rsid w:val="5DE7D9E5"/>
    <w:rsid w:val="5ECEC941"/>
    <w:rsid w:val="5FBF9FF3"/>
    <w:rsid w:val="5FCD4E2C"/>
    <w:rsid w:val="5FEF394A"/>
    <w:rsid w:val="5FF67715"/>
    <w:rsid w:val="62BF3928"/>
    <w:rsid w:val="647F5392"/>
    <w:rsid w:val="664B1D71"/>
    <w:rsid w:val="67AA3209"/>
    <w:rsid w:val="698D0931"/>
    <w:rsid w:val="6A7FE5F3"/>
    <w:rsid w:val="6B053271"/>
    <w:rsid w:val="6BBC3D90"/>
    <w:rsid w:val="6C4A05C8"/>
    <w:rsid w:val="6C8742B8"/>
    <w:rsid w:val="6DBF5E93"/>
    <w:rsid w:val="6DFF077E"/>
    <w:rsid w:val="6E303E8F"/>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332FE48"/>
    <w:rsid w:val="73AB61DA"/>
    <w:rsid w:val="73AD73D5"/>
    <w:rsid w:val="73B6EB34"/>
    <w:rsid w:val="73FA497D"/>
    <w:rsid w:val="744731E5"/>
    <w:rsid w:val="74BBD01D"/>
    <w:rsid w:val="74ED5379"/>
    <w:rsid w:val="75DEEEC2"/>
    <w:rsid w:val="76DF6526"/>
    <w:rsid w:val="76E3355F"/>
    <w:rsid w:val="76FF5125"/>
    <w:rsid w:val="776F6FFA"/>
    <w:rsid w:val="778769C8"/>
    <w:rsid w:val="77DC22F5"/>
    <w:rsid w:val="79086DAD"/>
    <w:rsid w:val="79D7FD79"/>
    <w:rsid w:val="79EE5BA4"/>
    <w:rsid w:val="7A894339"/>
    <w:rsid w:val="7AD284E8"/>
    <w:rsid w:val="7AFF7572"/>
    <w:rsid w:val="7B6C7DFB"/>
    <w:rsid w:val="7BBFBED0"/>
    <w:rsid w:val="7BC3E394"/>
    <w:rsid w:val="7C1F3737"/>
    <w:rsid w:val="7CBFC87B"/>
    <w:rsid w:val="7CFE0F48"/>
    <w:rsid w:val="7D7EC23E"/>
    <w:rsid w:val="7D8C78CE"/>
    <w:rsid w:val="7E8ADEBF"/>
    <w:rsid w:val="7EEF11D3"/>
    <w:rsid w:val="7EFE4840"/>
    <w:rsid w:val="7F0971A6"/>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7DAB09"/>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eastAsia="仿宋" w:asciiTheme="majorAscii" w:hAnsiTheme="majorAscii" w:cstheme="majorBidi"/>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qFormat/>
    <w:uiPriority w:val="0"/>
    <w:rPr>
      <w:sz w:val="20"/>
      <w:szCs w:val="20"/>
    </w:r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qFormat/>
    <w:uiPriority w:val="0"/>
    <w:rPr>
      <w:sz w:val="16"/>
      <w:szCs w:val="16"/>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5"/>
    <w:qFormat/>
    <w:uiPriority w:val="9"/>
    <w:rPr>
      <w:rFonts w:ascii="Times New Roman" w:hAnsi="Times New Roman"/>
      <w:b/>
      <w:bCs/>
      <w:kern w:val="44"/>
      <w:sz w:val="44"/>
      <w:szCs w:val="44"/>
    </w:rPr>
  </w:style>
  <w:style w:type="character" w:customStyle="1" w:styleId="31">
    <w:name w:val="标题 2 Char"/>
    <w:basedOn w:val="17"/>
    <w:link w:val="6"/>
    <w:qFormat/>
    <w:uiPriority w:val="9"/>
    <w:rPr>
      <w:rFonts w:eastAsia="仿宋" w:asciiTheme="majorAscii" w:hAnsiTheme="majorAscii" w:cstheme="majorBidi"/>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1"/>
    <w:semiHidden/>
    <w:qFormat/>
    <w:uiPriority w:val="99"/>
    <w:rPr>
      <w:rFonts w:ascii="Times New Roman" w:hAnsi="Times New Roman"/>
      <w:kern w:val="2"/>
      <w:sz w:val="18"/>
      <w:szCs w:val="18"/>
    </w:rPr>
  </w:style>
  <w:style w:type="character" w:customStyle="1" w:styleId="34">
    <w:name w:val="标题 3 Char"/>
    <w:basedOn w:val="17"/>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列出段落1"/>
    <w:basedOn w:val="1"/>
    <w:qFormat/>
    <w:uiPriority w:val="34"/>
    <w:pPr>
      <w:ind w:firstLine="420" w:firstLineChars="200"/>
    </w:pPr>
  </w:style>
  <w:style w:type="paragraph" w:customStyle="1" w:styleId="38">
    <w:name w:val="WPSOffice手动目录 1"/>
    <w:qFormat/>
    <w:uiPriority w:val="0"/>
    <w:pPr>
      <w:ind w:leftChars="0"/>
    </w:pPr>
    <w:rPr>
      <w:rFonts w:ascii="Times New Roman" w:hAnsi="Times New Roman" w:eastAsia="宋体" w:cs="Times New Roman"/>
      <w:sz w:val="20"/>
      <w:szCs w:val="20"/>
      <w:lang w:val="en-US" w:eastAsia="en-US" w:bidi="ar-SA"/>
    </w:rPr>
  </w:style>
  <w:style w:type="paragraph" w:customStyle="1" w:styleId="39">
    <w:name w:val="WPSOffice手动目录 2"/>
    <w:qFormat/>
    <w:uiPriority w:val="0"/>
    <w:pPr>
      <w:ind w:leftChars="200"/>
    </w:pPr>
    <w:rPr>
      <w:rFonts w:ascii="Times New Roman" w:hAnsi="Times New Roman" w:eastAsia="宋体" w:cs="Times New Roman"/>
      <w:sz w:val="20"/>
      <w:szCs w:val="20"/>
      <w:lang w:val="en-US" w:eastAsia="en-US" w:bidi="ar-SA"/>
    </w:rPr>
  </w:style>
  <w:style w:type="paragraph" w:customStyle="1" w:styleId="40">
    <w:name w:val="WPSOffice手动目录 3"/>
    <w:qFormat/>
    <w:uiPriority w:val="0"/>
    <w:pPr>
      <w:ind w:leftChars="400"/>
    </w:pPr>
    <w:rPr>
      <w:rFonts w:ascii="Times New Roman" w:hAnsi="Times New Roman" w:eastAsia="宋体"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4037;&#20316;&#25991;&#20214;&#22841;\2024&#24180;&#20915;&#31639;&#25991;&#20214;\2024&#24180;&#20915;&#31639;&#20844;&#24320;\2024&#24180;&#36130;&#25919;&#20915;&#31639;&#20844;&#24320;&#35745;&#31639;&#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4037;&#20316;&#25991;&#20214;&#22841;\2024&#24180;&#20915;&#31639;&#25991;&#20214;\2024&#24180;&#20915;&#31639;&#20844;&#24320;\2024&#24180;&#36130;&#25919;&#20915;&#31639;&#20844;&#24320;&#35745;&#31639;&#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24037;&#20316;&#25991;&#20214;&#22841;\2024&#24180;&#20915;&#31639;&#25991;&#20214;\2024&#24180;&#20915;&#31639;&#20844;&#24320;\2024&#24180;&#36130;&#25919;&#20915;&#31639;&#20844;&#24320;&#35745;&#31639;&#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4037;&#20316;&#25991;&#20214;&#22841;\2024&#24180;&#20915;&#31639;&#25991;&#20214;\2024&#24180;&#20915;&#31639;&#20844;&#24320;\2024&#24180;&#36130;&#25919;&#20915;&#31639;&#20844;&#24320;&#35745;&#31639;&#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4037;&#20316;&#25991;&#20214;&#22841;\2024&#24180;&#20915;&#31639;&#25991;&#20214;\2024&#24180;&#20915;&#31639;&#20844;&#24320;\2024&#24180;&#36130;&#25919;&#20915;&#31639;&#20844;&#24320;&#35745;&#31639;&#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4037;&#20316;&#25991;&#20214;&#22841;\2024&#24180;&#20915;&#31639;&#25991;&#20214;\2024&#24180;&#20915;&#31639;&#20844;&#24320;\2024&#24180;&#36130;&#25919;&#20915;&#31639;&#20844;&#24320;&#35745;&#31639;&#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4037;&#20316;&#25991;&#20214;&#22841;\2024&#24180;&#20915;&#31639;&#25991;&#20214;\2024&#24180;&#20915;&#31639;&#20844;&#24320;\2024&#24180;&#36130;&#25919;&#20915;&#31639;&#20844;&#24320;&#35745;&#31639;&#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[2024年财政决算公开计算表.xlsx]收入支出决算总体情况说明!$A$2</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strRef>
              <c:f>[2024年财政决算公开计算表.xlsx]收入支出决算总体情况说明!$B$1:$C$1</c:f>
              <c:strCache>
                <c:ptCount val="2"/>
                <c:pt idx="0">
                  <c:v>2023年</c:v>
                </c:pt>
                <c:pt idx="1">
                  <c:v>2024年</c:v>
                </c:pt>
              </c:strCache>
            </c:strRef>
          </c:cat>
          <c:val>
            <c:numRef>
              <c:f>[2024年财政决算公开计算表.xlsx]收入支出决算总体情况说明!$B$2:$C$2</c:f>
              <c:numCache>
                <c:formatCode>General</c:formatCode>
                <c:ptCount val="2"/>
                <c:pt idx="0">
                  <c:v>3841.34</c:v>
                </c:pt>
                <c:pt idx="1">
                  <c:v>4316.77</c:v>
                </c:pt>
              </c:numCache>
            </c:numRef>
          </c:val>
        </c:ser>
        <c:dLbls>
          <c:showLegendKey val="0"/>
          <c:showVal val="1"/>
          <c:showCatName val="0"/>
          <c:showSerName val="0"/>
          <c:showPercent val="0"/>
          <c:showBubbleSize val="0"/>
        </c:dLbls>
        <c:gapWidth val="219"/>
        <c:overlap val="-27"/>
        <c:axId val="781930337"/>
        <c:axId val="265602152"/>
      </c:barChart>
      <c:catAx>
        <c:axId val="781930337"/>
        <c:scaling>
          <c:orientation val="minMax"/>
        </c:scaling>
        <c:delete val="0"/>
        <c:axPos val="b"/>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b="1"/>
                  <a:t>单位：万元</a:t>
                </a:r>
                <a:endParaRPr b="1"/>
              </a:p>
            </c:rich>
          </c:tx>
          <c:layout>
            <c:manualLayout>
              <c:xMode val="edge"/>
              <c:yMode val="edge"/>
              <c:x val="0.453305555555556"/>
              <c:y val="0.880555555555556"/>
            </c:manualLayout>
          </c:layout>
          <c:overlay val="0"/>
          <c:spPr>
            <a:noFill/>
            <a:ln>
              <a:noFill/>
            </a:ln>
            <a:effectLst/>
          </c:spPr>
        </c:title>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265602152"/>
        <c:crosses val="autoZero"/>
        <c:auto val="1"/>
        <c:lblAlgn val="ctr"/>
        <c:lblOffset val="100"/>
        <c:noMultiLvlLbl val="0"/>
      </c:catAx>
      <c:valAx>
        <c:axId val="26560215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781930337"/>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altLang="en-US" sz="1680" b="1"/>
              <a:t>收入决算结构图</a:t>
            </a:r>
            <a:endParaRPr lang="en-US" altLang="zh-CN" sz="1680" b="1"/>
          </a:p>
        </c:rich>
      </c:tx>
      <c:layout>
        <c:manualLayout>
          <c:xMode val="edge"/>
          <c:yMode val="edge"/>
          <c:x val="0.445138888888889"/>
          <c:y val="0.04513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265360664441321"/>
                  <c:y val="-0.15006142832561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77962502877174"/>
                  <c:y val="0.00092921803978352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53283521570577"/>
                  <c:y val="-0.01470900920719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483669034801005"/>
                  <c:y val="-0.020801009264723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400" b="1"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strRef>
              <c:f>[2024年财政决算公开计算表.xlsx]收入决算情况说明!$B$1:$E$1</c:f>
              <c:strCache>
                <c:ptCount val="4"/>
                <c:pt idx="0">
                  <c:v>一般公共预算财政拨款收入</c:v>
                </c:pt>
                <c:pt idx="1">
                  <c:v>政府性基金预算财务拨款收入</c:v>
                </c:pt>
                <c:pt idx="2">
                  <c:v>事业收入</c:v>
                </c:pt>
                <c:pt idx="3">
                  <c:v>其他收入</c:v>
                </c:pt>
              </c:strCache>
            </c:strRef>
          </c:cat>
          <c:val>
            <c:numRef>
              <c:f>[2024年财政决算公开计算表.xlsx]收入决算情况说明!$B$2:$E$2</c:f>
              <c:numCache>
                <c:formatCode>General</c:formatCode>
                <c:ptCount val="4"/>
                <c:pt idx="0">
                  <c:v>3651.88</c:v>
                </c:pt>
                <c:pt idx="1">
                  <c:v>93</c:v>
                </c:pt>
                <c:pt idx="2">
                  <c:v>360.33</c:v>
                </c:pt>
                <c:pt idx="3">
                  <c:v>12.68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sz="1400" b="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mn-lt"/>
                <a:ea typeface="+mn-ea"/>
                <a:cs typeface="+mn-cs"/>
              </a:defRPr>
            </a:pPr>
            <a:r>
              <a:rPr sz="1600" b="1"/>
              <a:t>支出决算结构图</a:t>
            </a:r>
            <a:endParaRPr sz="1600"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400" b="1"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strRef>
              <c:f>[2024年财政决算公开计算表.xlsx]支出决算情况说明!$B$1:$C$1</c:f>
              <c:strCache>
                <c:ptCount val="2"/>
                <c:pt idx="0">
                  <c:v>基本支出</c:v>
                </c:pt>
                <c:pt idx="1">
                  <c:v>项目支出</c:v>
                </c:pt>
              </c:strCache>
            </c:strRef>
          </c:cat>
          <c:val>
            <c:numRef>
              <c:f>[2024年财政决算公开计算表.xlsx]支出决算情况说明!$B$2:$C$2</c:f>
              <c:numCache>
                <c:formatCode>General</c:formatCode>
                <c:ptCount val="2"/>
                <c:pt idx="0">
                  <c:v>3208.26</c:v>
                </c:pt>
                <c:pt idx="1">
                  <c:v>1079.5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71666666666667"/>
          <c:y val="0.440277777777778"/>
          <c:w val="0.173472222222222"/>
          <c:h val="0.14537037037037"/>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strRef>
              <c:f>[2024年财政决算公开计算表.xlsx]财政拨款收入支出决算总体情况说明!$B$1:$C$1</c:f>
              <c:strCache>
                <c:ptCount val="2"/>
                <c:pt idx="0">
                  <c:v>2023年</c:v>
                </c:pt>
                <c:pt idx="1">
                  <c:v>2024年</c:v>
                </c:pt>
              </c:strCache>
            </c:strRef>
          </c:cat>
          <c:val>
            <c:numRef>
              <c:f>[2024年财政决算公开计算表.xlsx]财政拨款收入支出决算总体情况说明!$B$2:$C$2</c:f>
              <c:numCache>
                <c:formatCode>General</c:formatCode>
                <c:ptCount val="2"/>
                <c:pt idx="0">
                  <c:v>3245.19</c:v>
                </c:pt>
                <c:pt idx="1">
                  <c:v>3744.88</c:v>
                </c:pt>
              </c:numCache>
            </c:numRef>
          </c:val>
        </c:ser>
        <c:dLbls>
          <c:showLegendKey val="0"/>
          <c:showVal val="1"/>
          <c:showCatName val="0"/>
          <c:showSerName val="0"/>
          <c:showPercent val="0"/>
          <c:showBubbleSize val="0"/>
        </c:dLbls>
        <c:gapWidth val="219"/>
        <c:overlap val="-27"/>
        <c:axId val="21209266"/>
        <c:axId val="390207369"/>
      </c:barChart>
      <c:catAx>
        <c:axId val="2120926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0207369"/>
        <c:crosses val="autoZero"/>
        <c:auto val="1"/>
        <c:lblAlgn val="ctr"/>
        <c:lblOffset val="100"/>
        <c:noMultiLvlLbl val="0"/>
      </c:catAx>
      <c:valAx>
        <c:axId val="390207369"/>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0926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strRef>
              <c:f>[2024年财政决算公开计算表.xlsx]一般公共预算财政拨款支出决算总体情况!$B$1:$C$1</c:f>
              <c:strCache>
                <c:ptCount val="2"/>
                <c:pt idx="0">
                  <c:v>2023年</c:v>
                </c:pt>
                <c:pt idx="1">
                  <c:v>2024年</c:v>
                </c:pt>
              </c:strCache>
            </c:strRef>
          </c:cat>
          <c:val>
            <c:numRef>
              <c:f>[2024年财政决算公开计算表.xlsx]一般公共预算财政拨款支出决算总体情况!$B$2:$C$2</c:f>
              <c:numCache>
                <c:formatCode>General</c:formatCode>
                <c:ptCount val="2"/>
                <c:pt idx="0">
                  <c:v>3245.19</c:v>
                </c:pt>
                <c:pt idx="1">
                  <c:v>3651.88</c:v>
                </c:pt>
              </c:numCache>
            </c:numRef>
          </c:val>
        </c:ser>
        <c:dLbls>
          <c:showLegendKey val="0"/>
          <c:showVal val="1"/>
          <c:showCatName val="0"/>
          <c:showSerName val="0"/>
          <c:showPercent val="0"/>
          <c:showBubbleSize val="0"/>
        </c:dLbls>
        <c:gapWidth val="219"/>
        <c:overlap val="-27"/>
        <c:axId val="992488707"/>
        <c:axId val="300344164"/>
      </c:barChart>
      <c:catAx>
        <c:axId val="99248870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453583333333333"/>
              <c:y val="0.87662037037037"/>
            </c:manualLayout>
          </c:layout>
          <c:overlay val="0"/>
          <c:spPr>
            <a:noFill/>
            <a:ln>
              <a:noFill/>
            </a:ln>
            <a:effectLst/>
          </c:spPr>
        </c:title>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344164"/>
        <c:crosses val="autoZero"/>
        <c:auto val="1"/>
        <c:lblAlgn val="ctr"/>
        <c:lblOffset val="100"/>
        <c:noMultiLvlLbl val="0"/>
      </c:catAx>
      <c:valAx>
        <c:axId val="30034416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2488707"/>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一般公共预算财政拨款支出决算结构图</a:t>
            </a:r>
            <a:endParaRPr b="1"/>
          </a:p>
        </c:rich>
      </c:tx>
      <c:layout>
        <c:manualLayout>
          <c:xMode val="edge"/>
          <c:yMode val="edge"/>
          <c:x val="0.161666666666667"/>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541666666666667"/>
                  <c:y val="0"/>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75"/>
                  <c:y val="-0.0034722222222222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79166666666667"/>
                  <c:y val="-0.02430555555555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458333333333333"/>
                  <c:y val="-0.02083333333333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strRef>
              <c:f>[2024年财政决算公开计算表.xlsx]一般公共预算财政拨款支出决算结构情况!$B$1:$E$1</c:f>
              <c:strCache>
                <c:ptCount val="4"/>
                <c:pt idx="0">
                  <c:v>文化旅游体育与传媒支出</c:v>
                </c:pt>
                <c:pt idx="1">
                  <c:v>社会保障和就业支出</c:v>
                </c:pt>
                <c:pt idx="2">
                  <c:v>卫生健康支出</c:v>
                </c:pt>
                <c:pt idx="3">
                  <c:v>住房保障支出</c:v>
                </c:pt>
              </c:strCache>
            </c:strRef>
          </c:cat>
          <c:val>
            <c:numRef>
              <c:f>[2024年财政决算公开计算表.xlsx]一般公共预算财政拨款支出决算结构情况!$B$2:$E$2</c:f>
              <c:numCache>
                <c:formatCode>General</c:formatCode>
                <c:ptCount val="4"/>
                <c:pt idx="0">
                  <c:v>3316.03</c:v>
                </c:pt>
                <c:pt idx="1">
                  <c:v>255.26</c:v>
                </c:pt>
                <c:pt idx="2">
                  <c:v>33.23</c:v>
                </c:pt>
                <c:pt idx="3">
                  <c:v>47.37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b="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manualLayout>
          <c:xMode val="edge"/>
          <c:yMode val="edge"/>
          <c:x val="0.403829252981795"/>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288583074175739"/>
                  <c:y val="-0.0379573345651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40789094628691"/>
                  <c:y val="0.05091585249867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78144884158312"/>
                  <c:y val="-0.024441204493618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round/>
                    </a:ln>
                    <a:effectLst/>
                  </c:spPr>
                </c15:leaderLines>
              </c:ext>
            </c:extLst>
          </c:dLbls>
          <c:cat>
            <c:strRef>
              <c:f>[2024年财政决算公开计算表.xlsx]三公经费!$B$1:$D$1</c:f>
              <c:strCache>
                <c:ptCount val="3"/>
                <c:pt idx="0">
                  <c:v>因公出国(境)费</c:v>
                </c:pt>
                <c:pt idx="1">
                  <c:v>公务用车购置及运行维护费</c:v>
                </c:pt>
                <c:pt idx="2">
                  <c:v>公务接待费</c:v>
                </c:pt>
              </c:strCache>
            </c:strRef>
          </c:cat>
          <c:val>
            <c:numRef>
              <c:f>[2024年财政决算公开计算表.xlsx]三公经费!$B$2:$D$2</c:f>
              <c:numCache>
                <c:formatCode>General</c:formatCode>
                <c:ptCount val="3"/>
                <c:pt idx="0">
                  <c:v>17.89</c:v>
                </c:pt>
                <c:pt idx="1">
                  <c:v>5.8</c:v>
                </c:pt>
                <c:pt idx="2">
                  <c:v>0.45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8301</Words>
  <Characters>8984</Characters>
  <Lines>61</Lines>
  <Paragraphs>17</Paragraphs>
  <TotalTime>9</TotalTime>
  <ScaleCrop>false</ScaleCrop>
  <LinksUpToDate>false</LinksUpToDate>
  <CharactersWithSpaces>9011</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云治</cp:lastModifiedBy>
  <cp:lastPrinted>2025-10-16T06:19:00Z</cp:lastPrinted>
  <dcterms:modified xsi:type="dcterms:W3CDTF">2025-10-20T01:42:51Z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D4CD39EC328B41078A7E75E65985CDA0</vt:lpwstr>
  </property>
  <property fmtid="{D5CDD505-2E9C-101B-9397-08002B2CF9AE}" pid="3" name="KSOProductBuildVer">
    <vt:lpwstr>2052-11.8.2.11734</vt:lpwstr>
  </property>
  <property fmtid="{D5CDD505-2E9C-101B-9397-08002B2CF9AE}" pid="4" name="KSOTemplateDocerSaveRecord">
    <vt:lpwstr>eyJoZGlkIjoiMmUyYzU5MGU0ZmZjODFmYzI2OGNmYWQ5ZTNlMWM3NTEiLCJ1c2VySWQiOiIyNDYyMDc3MDEifQ==</vt:lpwstr>
  </property>
</Properties>
</file>